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D28" w:rsidRDefault="00513D85">
      <w:pPr>
        <w:spacing w:before="88"/>
        <w:ind w:left="840"/>
        <w:rPr>
          <w:rFonts w:ascii="Times New Roman"/>
          <w:b/>
          <w:sz w:val="36"/>
        </w:rPr>
      </w:pPr>
      <w:r>
        <w:rPr>
          <w:rFonts w:ascii="Times New Roman"/>
          <w:b/>
          <w:color w:val="365F91"/>
          <w:w w:val="105"/>
          <w:sz w:val="36"/>
        </w:rPr>
        <w:t>The Windmill Centre</w:t>
      </w:r>
      <w:r w:rsidR="00C677D7">
        <w:rPr>
          <w:rFonts w:ascii="Times New Roman"/>
          <w:b/>
          <w:color w:val="365F91"/>
          <w:w w:val="105"/>
          <w:sz w:val="36"/>
        </w:rPr>
        <w:t xml:space="preserve"> - Fire Safety Risk Assessment</w:t>
      </w:r>
    </w:p>
    <w:p w:rsidR="005E3D28" w:rsidRDefault="00C677D7">
      <w:pPr>
        <w:pStyle w:val="Heading1"/>
        <w:spacing w:before="268"/>
      </w:pPr>
      <w:r>
        <w:rPr>
          <w:color w:val="4F81BC"/>
          <w:w w:val="110"/>
        </w:rPr>
        <w:t>Description of Premises</w:t>
      </w:r>
    </w:p>
    <w:p w:rsidR="005E3D28" w:rsidRDefault="00513D85">
      <w:pPr>
        <w:pStyle w:val="BodyText"/>
        <w:spacing w:before="128" w:line="232" w:lineRule="auto"/>
        <w:ind w:left="840" w:right="1009"/>
      </w:pPr>
      <w:r>
        <w:t>The Windmill Centre</w:t>
      </w:r>
      <w:r w:rsidR="00C677D7">
        <w:t xml:space="preserve"> is a </w:t>
      </w:r>
      <w:r>
        <w:t>conventional build</w:t>
      </w:r>
      <w:r w:rsidR="00C677D7">
        <w:t xml:space="preserve"> single-story community building situated</w:t>
      </w:r>
      <w:r>
        <w:t xml:space="preserve"> in Pendennis Road in the middle of Hele </w:t>
      </w:r>
      <w:r w:rsidR="00C677D7">
        <w:t>village</w:t>
      </w:r>
      <w:r>
        <w:t xml:space="preserve"> Torquay</w:t>
      </w:r>
      <w:r w:rsidR="00C677D7">
        <w:t>. The Hall is a registered charity and is run by a Management Committee of local volunteers. The committee consists of representatives from user groups and elected members of the public.</w:t>
      </w:r>
    </w:p>
    <w:p w:rsidR="005E3D28" w:rsidRDefault="005E3D28">
      <w:pPr>
        <w:pStyle w:val="BodyText"/>
        <w:spacing w:before="3"/>
        <w:rPr>
          <w:sz w:val="14"/>
        </w:rPr>
      </w:pPr>
    </w:p>
    <w:p w:rsidR="005E3D28" w:rsidRDefault="00C677D7">
      <w:pPr>
        <w:pStyle w:val="BodyText"/>
        <w:spacing w:line="232" w:lineRule="auto"/>
        <w:ind w:left="840" w:right="1145"/>
      </w:pPr>
      <w:r>
        <w:t xml:space="preserve">The facilities comprise the Main Hall, the </w:t>
      </w:r>
      <w:r w:rsidR="00513D85">
        <w:t>Training Room</w:t>
      </w:r>
      <w:r>
        <w:t xml:space="preserve">, the </w:t>
      </w:r>
      <w:r w:rsidR="00513D85">
        <w:t>computer suite</w:t>
      </w:r>
      <w:r>
        <w:t xml:space="preserve">, </w:t>
      </w:r>
      <w:r w:rsidR="00513D85">
        <w:t xml:space="preserve">a dedicated counselling room, the Main Office, </w:t>
      </w:r>
      <w:r>
        <w:t>an entrance lobby</w:t>
      </w:r>
      <w:r w:rsidR="00513D85">
        <w:t xml:space="preserve"> and </w:t>
      </w:r>
      <w:r>
        <w:t xml:space="preserve">separate men’s, women’s and disabled toilets. The </w:t>
      </w:r>
      <w:r w:rsidR="00513D85">
        <w:t>Main Hall and Training Room</w:t>
      </w:r>
      <w:r>
        <w:t xml:space="preserve"> has a catering kitchen attached to it</w:t>
      </w:r>
      <w:r w:rsidR="00513D85">
        <w:t>.</w:t>
      </w:r>
      <w:r>
        <w:t xml:space="preserve"> The Hall is available to hire for both private and public events. The Main Hall can hold up to </w:t>
      </w:r>
      <w:r w:rsidR="00513D85">
        <w:t>1</w:t>
      </w:r>
      <w:r>
        <w:t>00</w:t>
      </w:r>
      <w:r w:rsidR="00513D85">
        <w:t xml:space="preserve"> and the Training room is suitable for much smaller groups, maximum 20 people.  The centre also has a maximum occupancy limit of 150 for insurance purposes.</w:t>
      </w:r>
    </w:p>
    <w:p w:rsidR="005E3D28" w:rsidRDefault="005E3D28">
      <w:pPr>
        <w:pStyle w:val="BodyText"/>
        <w:spacing w:before="4"/>
        <w:rPr>
          <w:sz w:val="14"/>
        </w:rPr>
      </w:pPr>
    </w:p>
    <w:p w:rsidR="005E3D28" w:rsidRDefault="00C677D7">
      <w:pPr>
        <w:pStyle w:val="BodyText"/>
        <w:spacing w:line="232" w:lineRule="auto"/>
        <w:ind w:left="840" w:right="1034"/>
      </w:pPr>
      <w:r>
        <w:t>There is a car park to the side of the building, with space for 1</w:t>
      </w:r>
      <w:r w:rsidR="00352CDC">
        <w:t>4</w:t>
      </w:r>
      <w:r>
        <w:t xml:space="preserve"> cars (plus 1 disabled space). There are </w:t>
      </w:r>
      <w:r w:rsidR="00352CDC">
        <w:t xml:space="preserve">2 double door </w:t>
      </w:r>
      <w:r>
        <w:t>emergency exits leading directly out of the building from the Main Hall</w:t>
      </w:r>
      <w:r w:rsidR="00352CDC">
        <w:t xml:space="preserve">, and the main doors from the foyer are the other emergency exits. </w:t>
      </w:r>
      <w:r>
        <w:t>The premises meet all the requirements of the current Disability Discrimination Act and are licensed for entertainments including dance, plays, films and music.</w:t>
      </w:r>
    </w:p>
    <w:p w:rsidR="005E3D28" w:rsidRDefault="005E3D28">
      <w:pPr>
        <w:pStyle w:val="BodyText"/>
        <w:spacing w:before="3"/>
        <w:rPr>
          <w:sz w:val="14"/>
        </w:rPr>
      </w:pPr>
    </w:p>
    <w:p w:rsidR="005E3D28" w:rsidRDefault="00C677D7" w:rsidP="00352CDC">
      <w:pPr>
        <w:pStyle w:val="BodyText"/>
        <w:spacing w:line="232" w:lineRule="auto"/>
        <w:ind w:left="840" w:right="1013"/>
      </w:pPr>
      <w:r>
        <w:t>The Hall is hired by a range of voluntary organisations, private individuals and statutory organisations for a variety of activities</w:t>
      </w:r>
      <w:r w:rsidR="00352CDC">
        <w:t xml:space="preserve"> for a wide range of community needs</w:t>
      </w:r>
      <w:r>
        <w:t>. A</w:t>
      </w:r>
      <w:r w:rsidR="00352CDC">
        <w:t xml:space="preserve"> verbal</w:t>
      </w:r>
      <w:r>
        <w:t xml:space="preserve"> agreement between </w:t>
      </w:r>
      <w:r w:rsidR="00352CDC">
        <w:t>The Windmill Centre</w:t>
      </w:r>
      <w:r>
        <w:t xml:space="preserve"> and the Hirer forms the basis of the Hiring arrangement. The Hire Agreement and Standard Conditions of Hire draw the hirers’ attention to the health and safet</w:t>
      </w:r>
      <w:r w:rsidR="00352CDC">
        <w:t>y</w:t>
      </w:r>
      <w:r>
        <w:t xml:space="preserve"> that the booking places upon them</w:t>
      </w:r>
      <w:r w:rsidR="00352CDC">
        <w:t>.</w:t>
      </w:r>
    </w:p>
    <w:p w:rsidR="005E3D28" w:rsidRDefault="005E3D28">
      <w:pPr>
        <w:pStyle w:val="BodyText"/>
        <w:rPr>
          <w:sz w:val="17"/>
        </w:rPr>
      </w:pPr>
    </w:p>
    <w:p w:rsidR="005E3D28" w:rsidRDefault="00C677D7">
      <w:pPr>
        <w:pStyle w:val="Heading1"/>
        <w:spacing w:before="1"/>
      </w:pPr>
      <w:r>
        <w:rPr>
          <w:color w:val="4F81BC"/>
          <w:w w:val="105"/>
        </w:rPr>
        <w:t xml:space="preserve">Principal Uses of </w:t>
      </w:r>
      <w:r w:rsidR="00352CDC">
        <w:rPr>
          <w:color w:val="4F81BC"/>
          <w:w w:val="105"/>
        </w:rPr>
        <w:t>The Windmill Centre</w:t>
      </w:r>
    </w:p>
    <w:p w:rsidR="005E3D28" w:rsidRDefault="00C677D7">
      <w:pPr>
        <w:pStyle w:val="BodyText"/>
        <w:spacing w:before="125" w:line="232" w:lineRule="auto"/>
        <w:ind w:left="840" w:right="910"/>
      </w:pPr>
      <w:r>
        <w:t xml:space="preserve">The </w:t>
      </w:r>
      <w:r w:rsidR="00352CDC">
        <w:t>Windmill Centre</w:t>
      </w:r>
      <w:r>
        <w:t xml:space="preserve"> is used for a wide variety of functions. </w:t>
      </w:r>
      <w:proofErr w:type="gramStart"/>
      <w:r>
        <w:t>These cover</w:t>
      </w:r>
      <w:proofErr w:type="gramEnd"/>
      <w:r>
        <w:t xml:space="preserve">, but are not limited to, </w:t>
      </w:r>
      <w:r w:rsidR="00352CDC">
        <w:t xml:space="preserve">Chronic Pain Café, Catch Up </w:t>
      </w:r>
      <w:r w:rsidR="00DF5A30">
        <w:t xml:space="preserve">Café, S.P.A.C.E. Dog Training, Christian Church and Men </w:t>
      </w:r>
      <w:proofErr w:type="spellStart"/>
      <w:r w:rsidR="00DF5A30">
        <w:t>Rok</w:t>
      </w:r>
      <w:proofErr w:type="spellEnd"/>
      <w:r w:rsidR="00DF5A30">
        <w:t>.</w:t>
      </w:r>
    </w:p>
    <w:p w:rsidR="005E3D28" w:rsidRDefault="005E3D28">
      <w:pPr>
        <w:pStyle w:val="BodyText"/>
        <w:spacing w:before="13"/>
        <w:rPr>
          <w:sz w:val="13"/>
        </w:rPr>
      </w:pPr>
    </w:p>
    <w:p w:rsidR="005E3D28" w:rsidRDefault="00C677D7">
      <w:pPr>
        <w:pStyle w:val="BodyText"/>
        <w:spacing w:line="235" w:lineRule="auto"/>
        <w:ind w:left="840" w:right="1132"/>
        <w:jc w:val="both"/>
      </w:pPr>
      <w:r>
        <w:t>The</w:t>
      </w:r>
      <w:r w:rsidR="00D2617C">
        <w:t xml:space="preserve"> Windmill Centre </w:t>
      </w:r>
      <w:r>
        <w:t>Management Committee encourages all regular users of the Hall to carry out their own Fire Risk Assessment, highlighting the areas that pertain to their own group of users and their activities.</w:t>
      </w:r>
    </w:p>
    <w:p w:rsidR="005E3D28" w:rsidRDefault="005E3D28">
      <w:pPr>
        <w:pStyle w:val="BodyText"/>
        <w:spacing w:before="11"/>
        <w:rPr>
          <w:sz w:val="13"/>
        </w:rPr>
      </w:pPr>
    </w:p>
    <w:p w:rsidR="005E3D28" w:rsidRDefault="00C677D7">
      <w:pPr>
        <w:pStyle w:val="BodyText"/>
        <w:spacing w:line="232" w:lineRule="auto"/>
        <w:ind w:left="840" w:right="1142"/>
      </w:pPr>
      <w:r>
        <w:t>The Management Committee encourages hirers to make themselves aware of the exit routes, the fire</w:t>
      </w:r>
      <w:r w:rsidR="00D2617C">
        <w:t xml:space="preserve"> extinguishers and other</w:t>
      </w:r>
      <w:r>
        <w:t xml:space="preserve"> equipment and the plan of the Hall detailing the location of the equipment and the escape routes. The plan is available to all Hall users, is published on the web site and is also on the notice boards of the Main Hall and</w:t>
      </w:r>
      <w:r w:rsidR="00D2617C">
        <w:t xml:space="preserve"> other rooms in the building</w:t>
      </w:r>
      <w:r>
        <w:t>.</w:t>
      </w:r>
    </w:p>
    <w:p w:rsidR="005E3D28" w:rsidRDefault="005E3D28">
      <w:pPr>
        <w:pStyle w:val="BodyText"/>
        <w:spacing w:before="6"/>
        <w:rPr>
          <w:sz w:val="17"/>
        </w:rPr>
      </w:pPr>
    </w:p>
    <w:p w:rsidR="005E3D28" w:rsidRDefault="00C677D7">
      <w:pPr>
        <w:pStyle w:val="Heading1"/>
      </w:pPr>
      <w:r>
        <w:rPr>
          <w:color w:val="4F81BC"/>
          <w:w w:val="110"/>
        </w:rPr>
        <w:t>People at Risk of Fire</w:t>
      </w:r>
    </w:p>
    <w:p w:rsidR="005E3D28" w:rsidRPr="00A63DA4" w:rsidRDefault="00C677D7" w:rsidP="00D2617C">
      <w:pPr>
        <w:pStyle w:val="BodyText"/>
        <w:spacing w:before="120"/>
        <w:ind w:left="840"/>
        <w:rPr>
          <w:rFonts w:asciiTheme="minorHAnsi" w:hAnsiTheme="minorHAnsi"/>
          <w:bCs/>
        </w:rPr>
        <w:sectPr w:rsidR="005E3D28" w:rsidRPr="00A63DA4" w:rsidSect="00D07122">
          <w:footerReference w:type="default" r:id="rId7"/>
          <w:type w:val="continuous"/>
          <w:pgSz w:w="11910" w:h="16840"/>
          <w:pgMar w:top="1340" w:right="540" w:bottom="1080" w:left="600" w:header="567" w:footer="680" w:gutter="0"/>
          <w:pgNumType w:start="1"/>
          <w:cols w:space="720"/>
          <w:docGrid w:linePitch="299"/>
        </w:sectPr>
      </w:pPr>
      <w:r>
        <w:rPr>
          <w:rFonts w:ascii="Helvetica"/>
          <w:b/>
        </w:rPr>
        <w:t>Staf</w:t>
      </w:r>
      <w:r w:rsidR="00D2617C">
        <w:rPr>
          <w:rFonts w:ascii="Helvetica"/>
          <w:b/>
        </w:rPr>
        <w:t xml:space="preserve">f:  </w:t>
      </w:r>
      <w:r w:rsidR="00A63DA4">
        <w:rPr>
          <w:rFonts w:asciiTheme="minorHAnsi" w:hAnsiTheme="minorHAnsi"/>
          <w:bCs/>
        </w:rPr>
        <w:t xml:space="preserve"> The Windmill Centre staff and office volunteers are all briefed and trained on fire evacuation procedures and know where the fire assembly point</w:t>
      </w:r>
      <w:r w:rsidR="00D07122">
        <w:rPr>
          <w:rFonts w:asciiTheme="minorHAnsi" w:hAnsiTheme="minorHAnsi"/>
          <w:bCs/>
        </w:rPr>
        <w:t xml:space="preserve"> is.</w:t>
      </w:r>
      <w:bookmarkStart w:id="0" w:name="_GoBack"/>
      <w:bookmarkEnd w:id="0"/>
    </w:p>
    <w:p w:rsidR="005E3D28" w:rsidRDefault="00C677D7" w:rsidP="00D07122">
      <w:pPr>
        <w:pStyle w:val="BodyText"/>
        <w:spacing w:before="22" w:line="232" w:lineRule="auto"/>
        <w:ind w:left="720" w:right="988"/>
      </w:pPr>
      <w:r>
        <w:rPr>
          <w:rFonts w:ascii="Helvetica"/>
          <w:b/>
        </w:rPr>
        <w:lastRenderedPageBreak/>
        <w:t xml:space="preserve">Trades People: </w:t>
      </w:r>
      <w:r>
        <w:t>The committee employs local trades people on both an ad-hoc and scheduled basis for the purposes of cleaning, safety checks and building maintenance. The cleaner has a key to the building and is generally on her own when working. Local trades people who are familiar with the building may gain access to the Hall by borrowing a key from the</w:t>
      </w:r>
      <w:r w:rsidR="00A63DA4">
        <w:t xml:space="preserve"> centre manager</w:t>
      </w:r>
      <w:r>
        <w:t xml:space="preserve"> or other committee member, while others are always escorted by one or more committee members</w:t>
      </w:r>
      <w:r w:rsidR="00A63DA4">
        <w:t xml:space="preserve"> or volunteers.</w:t>
      </w:r>
    </w:p>
    <w:p w:rsidR="005E3D28" w:rsidRDefault="005E3D28">
      <w:pPr>
        <w:pStyle w:val="BodyText"/>
        <w:spacing w:before="8"/>
        <w:rPr>
          <w:sz w:val="14"/>
        </w:rPr>
      </w:pPr>
    </w:p>
    <w:p w:rsidR="005E3D28" w:rsidRDefault="00C677D7" w:rsidP="00A63DA4">
      <w:pPr>
        <w:pStyle w:val="BodyText"/>
        <w:spacing w:line="232" w:lineRule="auto"/>
        <w:ind w:left="720" w:right="894"/>
      </w:pPr>
      <w:r>
        <w:rPr>
          <w:rFonts w:ascii="Helvetica"/>
          <w:b/>
        </w:rPr>
        <w:t xml:space="preserve">Hall Users (up to </w:t>
      </w:r>
      <w:r w:rsidR="00A63DA4">
        <w:rPr>
          <w:rFonts w:ascii="Helvetica"/>
          <w:b/>
        </w:rPr>
        <w:t>150</w:t>
      </w:r>
      <w:r>
        <w:rPr>
          <w:rFonts w:ascii="Helvetica"/>
          <w:b/>
        </w:rPr>
        <w:t xml:space="preserve"> max</w:t>
      </w:r>
      <w:r w:rsidR="00A63DA4">
        <w:rPr>
          <w:rFonts w:ascii="Helvetica"/>
          <w:b/>
        </w:rPr>
        <w:t>.</w:t>
      </w:r>
      <w:r>
        <w:rPr>
          <w:rFonts w:ascii="Helvetica"/>
          <w:b/>
        </w:rPr>
        <w:t xml:space="preserve"> at any time): </w:t>
      </w:r>
      <w:r>
        <w:t xml:space="preserve">These will generally be familiar with the Hall. Those that are not will find the simple layout easy to navigate and assimilate. The Main Hall area is open plan and has </w:t>
      </w:r>
      <w:r w:rsidR="00A63DA4">
        <w:t>2</w:t>
      </w:r>
      <w:r>
        <w:t xml:space="preserve"> easily identifiable fire exits</w:t>
      </w:r>
      <w:r w:rsidR="00A63DA4">
        <w:t xml:space="preserve"> and a third exit adjacent to the boiler room and kitchen.</w:t>
      </w:r>
      <w:r>
        <w:t xml:space="preserve"> Emergency lighting is installed over fire doors and around the Hall, and this is tested regularly. A fire alert and detection system with audible sounders is installed, and this is tested regularly. There are fire doors fitted with push-bar releases that exit directly outside at the rear of the Main Hall</w:t>
      </w:r>
      <w:r w:rsidR="00A63DA4">
        <w:t>.</w:t>
      </w:r>
      <w:r>
        <w:t xml:space="preserve"> The main double entrance doors to the Hall must be kept unlocked whenever the Hall is in use for a</w:t>
      </w:r>
      <w:r>
        <w:rPr>
          <w:spacing w:val="-9"/>
        </w:rPr>
        <w:t xml:space="preserve"> </w:t>
      </w:r>
      <w:r>
        <w:t>function.</w:t>
      </w:r>
    </w:p>
    <w:p w:rsidR="005E3D28" w:rsidRDefault="005E3D28">
      <w:pPr>
        <w:pStyle w:val="BodyText"/>
        <w:spacing w:before="9"/>
        <w:rPr>
          <w:sz w:val="14"/>
        </w:rPr>
      </w:pPr>
    </w:p>
    <w:p w:rsidR="005E3D28" w:rsidRDefault="00C677D7" w:rsidP="00A63DA4">
      <w:pPr>
        <w:pStyle w:val="BodyText"/>
        <w:spacing w:line="232" w:lineRule="auto"/>
        <w:ind w:left="720" w:right="904"/>
      </w:pPr>
      <w:r>
        <w:rPr>
          <w:rFonts w:ascii="Helvetica"/>
          <w:b/>
        </w:rPr>
        <w:t xml:space="preserve">Disabled Persons: </w:t>
      </w:r>
      <w:r>
        <w:t>At a typical function there may possibly be a limited number of disabled persons. It is the responsibility of Hall hirers to ensure disabled persons are given adequate assistance in the event of an evacuation. Emergency exit doors</w:t>
      </w:r>
      <w:r w:rsidR="00A63DA4">
        <w:t xml:space="preserve"> in the Main Hall have access ramps suitable for wheelchair use. The double doors at the entrance to the centre has a Disabled Access button operated door and also a pair of conventional aluminium framed double doors for ease of evacuation if required.</w:t>
      </w:r>
    </w:p>
    <w:p w:rsidR="005E3D28" w:rsidRDefault="005E3D28">
      <w:pPr>
        <w:pStyle w:val="BodyText"/>
        <w:spacing w:before="8"/>
        <w:rPr>
          <w:sz w:val="14"/>
        </w:rPr>
      </w:pPr>
    </w:p>
    <w:p w:rsidR="005E3D28" w:rsidRDefault="00C677D7" w:rsidP="00A63DA4">
      <w:pPr>
        <w:pStyle w:val="BodyText"/>
        <w:spacing w:line="232" w:lineRule="auto"/>
        <w:ind w:left="720" w:right="991"/>
      </w:pPr>
      <w:r>
        <w:rPr>
          <w:rFonts w:ascii="Helvetica"/>
          <w:b/>
        </w:rPr>
        <w:t xml:space="preserve">Children: </w:t>
      </w:r>
      <w:r>
        <w:t xml:space="preserve">It is the responsibility of hirers to ensure all children within the Hall are supervised and that they are given adequate assistance in the event of an evacuation. </w:t>
      </w:r>
    </w:p>
    <w:p w:rsidR="005E3D28" w:rsidRDefault="005E3D28">
      <w:pPr>
        <w:pStyle w:val="BodyText"/>
        <w:rPr>
          <w:sz w:val="14"/>
        </w:rPr>
      </w:pPr>
    </w:p>
    <w:p w:rsidR="005E3D28" w:rsidRDefault="00C677D7" w:rsidP="00A63DA4">
      <w:pPr>
        <w:spacing w:before="1" w:line="235" w:lineRule="auto"/>
        <w:ind w:left="720" w:right="908"/>
      </w:pPr>
      <w:r>
        <w:rPr>
          <w:rFonts w:ascii="Helvetica"/>
          <w:b/>
        </w:rPr>
        <w:t xml:space="preserve">Other Members of the Public (who are not using the Hall): </w:t>
      </w:r>
      <w:r>
        <w:t>Members of the public may walk past the front of the Hall and through the car park.</w:t>
      </w:r>
    </w:p>
    <w:p w:rsidR="005E3D28" w:rsidRDefault="005E3D28">
      <w:pPr>
        <w:pStyle w:val="BodyText"/>
        <w:rPr>
          <w:sz w:val="17"/>
        </w:rPr>
      </w:pPr>
    </w:p>
    <w:p w:rsidR="005E3D28" w:rsidRDefault="00C677D7" w:rsidP="00A63DA4">
      <w:pPr>
        <w:pStyle w:val="Heading1"/>
        <w:ind w:left="0" w:firstLine="720"/>
      </w:pPr>
      <w:r>
        <w:rPr>
          <w:color w:val="4F81BC"/>
          <w:w w:val="110"/>
        </w:rPr>
        <w:t>Possible Causes of Fire</w:t>
      </w:r>
    </w:p>
    <w:p w:rsidR="005E3D28" w:rsidRDefault="005E3D28">
      <w:pPr>
        <w:pStyle w:val="BodyText"/>
        <w:spacing w:before="6"/>
        <w:rPr>
          <w:rFonts w:ascii="Times New Roman"/>
          <w:b/>
          <w:sz w:val="14"/>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6"/>
        <w:gridCol w:w="3497"/>
        <w:gridCol w:w="3497"/>
      </w:tblGrid>
      <w:tr w:rsidR="005E3D28" w:rsidTr="00D07122">
        <w:trPr>
          <w:trHeight w:val="268"/>
        </w:trPr>
        <w:tc>
          <w:tcPr>
            <w:tcW w:w="3496" w:type="dxa"/>
          </w:tcPr>
          <w:p w:rsidR="005E3D28" w:rsidRDefault="00C677D7">
            <w:pPr>
              <w:pStyle w:val="TableParagraph"/>
              <w:spacing w:line="248" w:lineRule="exact"/>
              <w:rPr>
                <w:b/>
              </w:rPr>
            </w:pPr>
            <w:r>
              <w:rPr>
                <w:b/>
              </w:rPr>
              <w:t>Source of Ignition</w:t>
            </w:r>
          </w:p>
        </w:tc>
        <w:tc>
          <w:tcPr>
            <w:tcW w:w="3497" w:type="dxa"/>
          </w:tcPr>
          <w:p w:rsidR="005E3D28" w:rsidRDefault="00C677D7">
            <w:pPr>
              <w:pStyle w:val="TableParagraph"/>
              <w:spacing w:line="248" w:lineRule="exact"/>
              <w:rPr>
                <w:b/>
              </w:rPr>
            </w:pPr>
            <w:r>
              <w:rPr>
                <w:b/>
              </w:rPr>
              <w:t>Source of Fuel</w:t>
            </w:r>
          </w:p>
        </w:tc>
        <w:tc>
          <w:tcPr>
            <w:tcW w:w="3497" w:type="dxa"/>
          </w:tcPr>
          <w:p w:rsidR="005E3D28" w:rsidRDefault="00C677D7">
            <w:pPr>
              <w:pStyle w:val="TableParagraph"/>
              <w:spacing w:line="248" w:lineRule="exact"/>
              <w:ind w:left="104"/>
              <w:rPr>
                <w:b/>
              </w:rPr>
            </w:pPr>
            <w:r>
              <w:rPr>
                <w:b/>
              </w:rPr>
              <w:t>Source of Oxygen</w:t>
            </w:r>
          </w:p>
        </w:tc>
      </w:tr>
      <w:tr w:rsidR="005E3D28" w:rsidTr="00D07122">
        <w:trPr>
          <w:trHeight w:val="1074"/>
        </w:trPr>
        <w:tc>
          <w:tcPr>
            <w:tcW w:w="3496" w:type="dxa"/>
          </w:tcPr>
          <w:p w:rsidR="005E3D28" w:rsidRDefault="00C677D7">
            <w:pPr>
              <w:pStyle w:val="TableParagraph"/>
              <w:spacing w:line="204" w:lineRule="auto"/>
              <w:ind w:right="309"/>
              <w:jc w:val="both"/>
            </w:pPr>
            <w:r>
              <w:t>Faulty electrical system in mains power supply, ring mains or lighting</w:t>
            </w:r>
          </w:p>
          <w:p w:rsidR="005E3D28" w:rsidRDefault="00C677D7">
            <w:pPr>
              <w:pStyle w:val="TableParagraph"/>
              <w:spacing w:line="257" w:lineRule="exact"/>
            </w:pPr>
            <w:r>
              <w:t>circuits.</w:t>
            </w:r>
          </w:p>
        </w:tc>
        <w:tc>
          <w:tcPr>
            <w:tcW w:w="3497" w:type="dxa"/>
          </w:tcPr>
          <w:p w:rsidR="005E3D28" w:rsidRDefault="00C677D7">
            <w:pPr>
              <w:pStyle w:val="TableParagraph"/>
              <w:spacing w:line="204" w:lineRule="auto"/>
              <w:ind w:right="323"/>
            </w:pPr>
            <w:r>
              <w:t>Any material close to the source of the fault (e.g. the cupboard in which the consumer unit is located, skirting boards, plaster board, wood</w:t>
            </w:r>
          </w:p>
          <w:p w:rsidR="005E3D28" w:rsidRDefault="00C677D7">
            <w:pPr>
              <w:pStyle w:val="TableParagraph"/>
              <w:spacing w:line="257" w:lineRule="exact"/>
            </w:pPr>
            <w:r>
              <w:t>panelling).</w:t>
            </w:r>
          </w:p>
        </w:tc>
        <w:tc>
          <w:tcPr>
            <w:tcW w:w="3497" w:type="dxa"/>
          </w:tcPr>
          <w:p w:rsidR="005E3D28" w:rsidRDefault="00C677D7">
            <w:pPr>
              <w:pStyle w:val="TableParagraph"/>
              <w:spacing w:line="268" w:lineRule="exact"/>
              <w:ind w:left="104"/>
            </w:pPr>
            <w:r>
              <w:t>Open to the air</w:t>
            </w:r>
          </w:p>
        </w:tc>
      </w:tr>
      <w:tr w:rsidR="005E3D28" w:rsidTr="00D07122">
        <w:trPr>
          <w:trHeight w:val="537"/>
        </w:trPr>
        <w:tc>
          <w:tcPr>
            <w:tcW w:w="3496" w:type="dxa"/>
          </w:tcPr>
          <w:p w:rsidR="005E3D28" w:rsidRDefault="00C677D7">
            <w:pPr>
              <w:pStyle w:val="TableParagraph"/>
              <w:spacing w:line="244" w:lineRule="exact"/>
            </w:pPr>
            <w:r>
              <w:t>Gas leak in mains supply</w:t>
            </w:r>
          </w:p>
          <w:p w:rsidR="005E3D28" w:rsidRDefault="00C677D7">
            <w:pPr>
              <w:pStyle w:val="TableParagraph"/>
              <w:spacing w:line="274" w:lineRule="exact"/>
            </w:pPr>
            <w:r>
              <w:t>to boilers.</w:t>
            </w:r>
          </w:p>
        </w:tc>
        <w:tc>
          <w:tcPr>
            <w:tcW w:w="3497" w:type="dxa"/>
          </w:tcPr>
          <w:p w:rsidR="005E3D28" w:rsidRDefault="00C677D7">
            <w:pPr>
              <w:pStyle w:val="TableParagraph"/>
              <w:spacing w:line="244" w:lineRule="exact"/>
            </w:pPr>
            <w:r>
              <w:t>Any combustible materials close to the boilers (in</w:t>
            </w:r>
          </w:p>
          <w:p w:rsidR="005E3D28" w:rsidRDefault="00C677D7">
            <w:pPr>
              <w:pStyle w:val="TableParagraph"/>
              <w:spacing w:line="274" w:lineRule="exact"/>
            </w:pPr>
            <w:r>
              <w:t>the Small Hall)</w:t>
            </w:r>
          </w:p>
        </w:tc>
        <w:tc>
          <w:tcPr>
            <w:tcW w:w="3497" w:type="dxa"/>
          </w:tcPr>
          <w:p w:rsidR="005E3D28" w:rsidRDefault="00C677D7">
            <w:pPr>
              <w:pStyle w:val="TableParagraph"/>
              <w:spacing w:line="268" w:lineRule="exact"/>
              <w:ind w:left="104"/>
            </w:pPr>
            <w:r>
              <w:t>Open to the air</w:t>
            </w:r>
          </w:p>
        </w:tc>
      </w:tr>
      <w:tr w:rsidR="005E3D28" w:rsidTr="00D07122">
        <w:trPr>
          <w:trHeight w:val="803"/>
        </w:trPr>
        <w:tc>
          <w:tcPr>
            <w:tcW w:w="3496" w:type="dxa"/>
            <w:tcBorders>
              <w:bottom w:val="single" w:sz="6" w:space="0" w:color="000000"/>
            </w:tcBorders>
          </w:tcPr>
          <w:p w:rsidR="005E3D28" w:rsidRDefault="00C677D7">
            <w:pPr>
              <w:pStyle w:val="TableParagraph"/>
              <w:spacing w:line="204" w:lineRule="auto"/>
              <w:ind w:right="160"/>
            </w:pPr>
            <w:r>
              <w:t>Faulty portable electrical equipment (e.g. kettles,</w:t>
            </w:r>
          </w:p>
          <w:p w:rsidR="005E3D28" w:rsidRDefault="00C677D7">
            <w:pPr>
              <w:pStyle w:val="TableParagraph"/>
              <w:spacing w:line="255" w:lineRule="exact"/>
            </w:pPr>
            <w:r>
              <w:t>toasters, radios, etc)</w:t>
            </w:r>
          </w:p>
        </w:tc>
        <w:tc>
          <w:tcPr>
            <w:tcW w:w="3497" w:type="dxa"/>
            <w:tcBorders>
              <w:bottom w:val="single" w:sz="6" w:space="0" w:color="000000"/>
            </w:tcBorders>
          </w:tcPr>
          <w:p w:rsidR="005E3D28" w:rsidRDefault="00C677D7">
            <w:pPr>
              <w:pStyle w:val="TableParagraph"/>
              <w:spacing w:line="204" w:lineRule="auto"/>
              <w:ind w:right="1206"/>
            </w:pPr>
            <w:r>
              <w:t>The portable device itself and then any combustible materials close to it</w:t>
            </w:r>
          </w:p>
        </w:tc>
        <w:tc>
          <w:tcPr>
            <w:tcW w:w="3497" w:type="dxa"/>
            <w:tcBorders>
              <w:bottom w:val="single" w:sz="6" w:space="0" w:color="000000"/>
            </w:tcBorders>
          </w:tcPr>
          <w:p w:rsidR="005E3D28" w:rsidRDefault="00C677D7">
            <w:pPr>
              <w:pStyle w:val="TableParagraph"/>
              <w:spacing w:line="268" w:lineRule="exact"/>
              <w:ind w:left="104"/>
            </w:pPr>
            <w:r>
              <w:t>Open to the air</w:t>
            </w:r>
          </w:p>
        </w:tc>
      </w:tr>
      <w:tr w:rsidR="005E3D28" w:rsidTr="00D07122">
        <w:trPr>
          <w:trHeight w:val="801"/>
        </w:trPr>
        <w:tc>
          <w:tcPr>
            <w:tcW w:w="3496" w:type="dxa"/>
            <w:tcBorders>
              <w:top w:val="single" w:sz="6" w:space="0" w:color="000000"/>
            </w:tcBorders>
          </w:tcPr>
          <w:p w:rsidR="005E3D28" w:rsidRDefault="00C677D7">
            <w:pPr>
              <w:pStyle w:val="TableParagraph"/>
              <w:spacing w:line="241" w:lineRule="exact"/>
            </w:pPr>
            <w:r>
              <w:t>Kitchen appliances (i.e.</w:t>
            </w:r>
          </w:p>
          <w:p w:rsidR="005E3D28" w:rsidRDefault="00C677D7">
            <w:pPr>
              <w:pStyle w:val="TableParagraph"/>
              <w:spacing w:before="21" w:line="266" w:lineRule="exact"/>
              <w:ind w:right="184"/>
            </w:pPr>
            <w:r>
              <w:t>hob, oven, fridge, kettle, microwave)</w:t>
            </w:r>
          </w:p>
        </w:tc>
        <w:tc>
          <w:tcPr>
            <w:tcW w:w="3497" w:type="dxa"/>
            <w:tcBorders>
              <w:top w:val="single" w:sz="6" w:space="0" w:color="000000"/>
            </w:tcBorders>
          </w:tcPr>
          <w:p w:rsidR="005E3D28" w:rsidRDefault="00C677D7">
            <w:pPr>
              <w:pStyle w:val="TableParagraph"/>
              <w:spacing w:line="204" w:lineRule="auto"/>
              <w:ind w:right="583"/>
            </w:pPr>
            <w:r>
              <w:t>The appliance itself and then any combustible materials close to it</w:t>
            </w:r>
          </w:p>
        </w:tc>
        <w:tc>
          <w:tcPr>
            <w:tcW w:w="3497" w:type="dxa"/>
            <w:tcBorders>
              <w:top w:val="single" w:sz="6" w:space="0" w:color="000000"/>
            </w:tcBorders>
          </w:tcPr>
          <w:p w:rsidR="005E3D28" w:rsidRDefault="00C677D7">
            <w:pPr>
              <w:pStyle w:val="TableParagraph"/>
              <w:spacing w:line="265" w:lineRule="exact"/>
              <w:ind w:left="104"/>
            </w:pPr>
            <w:r>
              <w:t>Open to the air</w:t>
            </w:r>
          </w:p>
        </w:tc>
      </w:tr>
      <w:tr w:rsidR="005E3D28" w:rsidTr="00D07122">
        <w:trPr>
          <w:trHeight w:val="537"/>
        </w:trPr>
        <w:tc>
          <w:tcPr>
            <w:tcW w:w="3496" w:type="dxa"/>
          </w:tcPr>
          <w:p w:rsidR="005E3D28" w:rsidRDefault="00C677D7">
            <w:pPr>
              <w:pStyle w:val="TableParagraph"/>
              <w:spacing w:line="268" w:lineRule="exact"/>
            </w:pPr>
            <w:r>
              <w:t>Smoking</w:t>
            </w:r>
          </w:p>
        </w:tc>
        <w:tc>
          <w:tcPr>
            <w:tcW w:w="3497" w:type="dxa"/>
          </w:tcPr>
          <w:p w:rsidR="005E3D28" w:rsidRDefault="00C677D7">
            <w:pPr>
              <w:pStyle w:val="TableParagraph"/>
              <w:spacing w:line="244" w:lineRule="exact"/>
            </w:pPr>
            <w:r>
              <w:t>Material in waste bins or any other areas where</w:t>
            </w:r>
          </w:p>
          <w:p w:rsidR="005E3D28" w:rsidRDefault="00C677D7">
            <w:pPr>
              <w:pStyle w:val="TableParagraph"/>
              <w:spacing w:line="274" w:lineRule="exact"/>
            </w:pPr>
            <w:r>
              <w:t>cigarettes may be left or disposed of.</w:t>
            </w:r>
          </w:p>
        </w:tc>
        <w:tc>
          <w:tcPr>
            <w:tcW w:w="3497" w:type="dxa"/>
          </w:tcPr>
          <w:p w:rsidR="005E3D28" w:rsidRDefault="00C677D7">
            <w:pPr>
              <w:pStyle w:val="TableParagraph"/>
              <w:spacing w:line="268" w:lineRule="exact"/>
              <w:ind w:left="104"/>
            </w:pPr>
            <w:r>
              <w:t>Open to the air</w:t>
            </w:r>
          </w:p>
        </w:tc>
      </w:tr>
      <w:tr w:rsidR="005E3D28" w:rsidTr="00D07122">
        <w:trPr>
          <w:trHeight w:val="537"/>
        </w:trPr>
        <w:tc>
          <w:tcPr>
            <w:tcW w:w="3496" w:type="dxa"/>
          </w:tcPr>
          <w:p w:rsidR="005E3D28" w:rsidRDefault="00C677D7">
            <w:pPr>
              <w:pStyle w:val="TableParagraph"/>
              <w:spacing w:line="268" w:lineRule="exact"/>
            </w:pPr>
            <w:r>
              <w:t>Cooking accidents</w:t>
            </w:r>
          </w:p>
        </w:tc>
        <w:tc>
          <w:tcPr>
            <w:tcW w:w="3497" w:type="dxa"/>
          </w:tcPr>
          <w:p w:rsidR="005E3D28" w:rsidRDefault="00C677D7">
            <w:pPr>
              <w:pStyle w:val="TableParagraph"/>
              <w:spacing w:line="244" w:lineRule="exact"/>
            </w:pPr>
            <w:r>
              <w:t>Hot oil igniting on the hob or under a grill. Food</w:t>
            </w:r>
          </w:p>
          <w:p w:rsidR="005E3D28" w:rsidRDefault="00C677D7">
            <w:pPr>
              <w:pStyle w:val="TableParagraph"/>
              <w:spacing w:line="274" w:lineRule="exact"/>
            </w:pPr>
            <w:r>
              <w:t>burning in the oven or on the hob.</w:t>
            </w:r>
          </w:p>
        </w:tc>
        <w:tc>
          <w:tcPr>
            <w:tcW w:w="3497" w:type="dxa"/>
          </w:tcPr>
          <w:p w:rsidR="005E3D28" w:rsidRDefault="00C677D7">
            <w:pPr>
              <w:pStyle w:val="TableParagraph"/>
              <w:spacing w:line="268" w:lineRule="exact"/>
              <w:ind w:left="104"/>
            </w:pPr>
            <w:r>
              <w:t>Open to the air</w:t>
            </w:r>
          </w:p>
        </w:tc>
      </w:tr>
      <w:tr w:rsidR="005E3D28" w:rsidTr="00D07122">
        <w:trPr>
          <w:trHeight w:val="270"/>
        </w:trPr>
        <w:tc>
          <w:tcPr>
            <w:tcW w:w="3496" w:type="dxa"/>
          </w:tcPr>
          <w:p w:rsidR="005E3D28" w:rsidRDefault="00C677D7">
            <w:pPr>
              <w:pStyle w:val="TableParagraph"/>
              <w:spacing w:line="251" w:lineRule="exact"/>
            </w:pPr>
            <w:r>
              <w:t>Arson</w:t>
            </w:r>
          </w:p>
        </w:tc>
        <w:tc>
          <w:tcPr>
            <w:tcW w:w="3497" w:type="dxa"/>
          </w:tcPr>
          <w:p w:rsidR="005E3D28" w:rsidRDefault="00C677D7">
            <w:pPr>
              <w:pStyle w:val="TableParagraph"/>
              <w:spacing w:line="251" w:lineRule="exact"/>
            </w:pPr>
            <w:r>
              <w:t>Could be any source</w:t>
            </w:r>
          </w:p>
        </w:tc>
        <w:tc>
          <w:tcPr>
            <w:tcW w:w="3497" w:type="dxa"/>
          </w:tcPr>
          <w:p w:rsidR="005E3D28" w:rsidRDefault="00C677D7">
            <w:pPr>
              <w:pStyle w:val="TableParagraph"/>
              <w:spacing w:line="251" w:lineRule="exact"/>
              <w:ind w:left="104"/>
            </w:pPr>
            <w:r>
              <w:t>Open to the air</w:t>
            </w:r>
          </w:p>
        </w:tc>
      </w:tr>
    </w:tbl>
    <w:p w:rsidR="005E3D28" w:rsidRDefault="005E3D28">
      <w:pPr>
        <w:spacing w:line="251" w:lineRule="exact"/>
        <w:sectPr w:rsidR="005E3D28" w:rsidSect="00D07122">
          <w:pgSz w:w="11910" w:h="16840"/>
          <w:pgMar w:top="720" w:right="720" w:bottom="720" w:left="720" w:header="0" w:footer="892" w:gutter="0"/>
          <w:cols w:space="720"/>
          <w:docGrid w:linePitch="299"/>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1"/>
        <w:gridCol w:w="3591"/>
        <w:gridCol w:w="3591"/>
      </w:tblGrid>
      <w:tr w:rsidR="005E3D28" w:rsidTr="00D07122">
        <w:trPr>
          <w:trHeight w:val="537"/>
        </w:trPr>
        <w:tc>
          <w:tcPr>
            <w:tcW w:w="3591" w:type="dxa"/>
          </w:tcPr>
          <w:p w:rsidR="005E3D28" w:rsidRDefault="00C677D7">
            <w:pPr>
              <w:pStyle w:val="TableParagraph"/>
              <w:spacing w:line="244" w:lineRule="exact"/>
            </w:pPr>
            <w:r>
              <w:lastRenderedPageBreak/>
              <w:t>Candles and other naked</w:t>
            </w:r>
          </w:p>
          <w:p w:rsidR="005E3D28" w:rsidRDefault="00C677D7">
            <w:pPr>
              <w:pStyle w:val="TableParagraph"/>
              <w:spacing w:line="274" w:lineRule="exact"/>
            </w:pPr>
            <w:r>
              <w:t>flames</w:t>
            </w:r>
          </w:p>
        </w:tc>
        <w:tc>
          <w:tcPr>
            <w:tcW w:w="3591" w:type="dxa"/>
          </w:tcPr>
          <w:p w:rsidR="005E3D28" w:rsidRDefault="00C677D7">
            <w:pPr>
              <w:pStyle w:val="TableParagraph"/>
              <w:spacing w:line="244" w:lineRule="exact"/>
            </w:pPr>
            <w:r>
              <w:t>The candles and combustible materials close to</w:t>
            </w:r>
          </w:p>
          <w:p w:rsidR="005E3D28" w:rsidRDefault="00C677D7">
            <w:pPr>
              <w:pStyle w:val="TableParagraph"/>
              <w:spacing w:line="274" w:lineRule="exact"/>
            </w:pPr>
            <w:r>
              <w:t>them.</w:t>
            </w:r>
          </w:p>
        </w:tc>
        <w:tc>
          <w:tcPr>
            <w:tcW w:w="3591" w:type="dxa"/>
          </w:tcPr>
          <w:p w:rsidR="005E3D28" w:rsidRDefault="00C677D7">
            <w:pPr>
              <w:pStyle w:val="TableParagraph"/>
              <w:spacing w:line="268" w:lineRule="exact"/>
              <w:ind w:left="104"/>
            </w:pPr>
            <w:r>
              <w:t>Open to the air</w:t>
            </w:r>
          </w:p>
        </w:tc>
      </w:tr>
    </w:tbl>
    <w:p w:rsidR="005E3D28" w:rsidRDefault="005E3D28">
      <w:pPr>
        <w:pStyle w:val="BodyText"/>
        <w:spacing w:before="8"/>
        <w:rPr>
          <w:rFonts w:ascii="Times New Roman"/>
          <w:b/>
          <w:sz w:val="8"/>
        </w:rPr>
      </w:pPr>
    </w:p>
    <w:p w:rsidR="005E3D28" w:rsidRDefault="00C677D7">
      <w:pPr>
        <w:spacing w:before="103"/>
        <w:ind w:left="840"/>
        <w:rPr>
          <w:rFonts w:ascii="Times New Roman"/>
          <w:b/>
          <w:sz w:val="26"/>
        </w:rPr>
      </w:pPr>
      <w:r>
        <w:rPr>
          <w:rFonts w:ascii="Times New Roman"/>
          <w:b/>
          <w:color w:val="4F81BC"/>
          <w:w w:val="105"/>
          <w:sz w:val="26"/>
        </w:rPr>
        <w:t>Control Measures</w:t>
      </w:r>
    </w:p>
    <w:p w:rsidR="005E3D28" w:rsidRDefault="005E3D28">
      <w:pPr>
        <w:pStyle w:val="BodyText"/>
        <w:spacing w:before="9"/>
        <w:rPr>
          <w:rFonts w:ascii="Times New Roman"/>
          <w:b/>
          <w:sz w:val="1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864"/>
        <w:gridCol w:w="1441"/>
        <w:gridCol w:w="3018"/>
        <w:gridCol w:w="3530"/>
      </w:tblGrid>
      <w:tr w:rsidR="005E3D28" w:rsidTr="00D07122">
        <w:trPr>
          <w:trHeight w:val="268"/>
        </w:trPr>
        <w:tc>
          <w:tcPr>
            <w:tcW w:w="1920" w:type="dxa"/>
            <w:vMerge w:val="restart"/>
          </w:tcPr>
          <w:p w:rsidR="005E3D28" w:rsidRDefault="00C677D7">
            <w:pPr>
              <w:pStyle w:val="TableParagraph"/>
              <w:spacing w:line="268" w:lineRule="exact"/>
              <w:rPr>
                <w:b/>
              </w:rPr>
            </w:pPr>
            <w:r>
              <w:rPr>
                <w:b/>
              </w:rPr>
              <w:t>Fire hazard</w:t>
            </w:r>
          </w:p>
        </w:tc>
        <w:tc>
          <w:tcPr>
            <w:tcW w:w="864" w:type="dxa"/>
            <w:vMerge w:val="restart"/>
          </w:tcPr>
          <w:p w:rsidR="005E3D28" w:rsidRDefault="00C677D7">
            <w:pPr>
              <w:pStyle w:val="TableParagraph"/>
              <w:spacing w:line="201" w:lineRule="auto"/>
              <w:ind w:left="108" w:right="145"/>
              <w:rPr>
                <w:b/>
              </w:rPr>
            </w:pPr>
            <w:r>
              <w:rPr>
                <w:b/>
              </w:rPr>
              <w:t xml:space="preserve">Like- </w:t>
            </w:r>
            <w:proofErr w:type="spellStart"/>
            <w:r>
              <w:rPr>
                <w:b/>
              </w:rPr>
              <w:t>lihood</w:t>
            </w:r>
            <w:proofErr w:type="spellEnd"/>
            <w:r>
              <w:rPr>
                <w:b/>
              </w:rPr>
              <w:t xml:space="preserve"> 1=low</w:t>
            </w:r>
          </w:p>
          <w:p w:rsidR="005E3D28" w:rsidRDefault="00C677D7">
            <w:pPr>
              <w:pStyle w:val="TableParagraph"/>
              <w:spacing w:line="261" w:lineRule="exact"/>
              <w:ind w:left="108"/>
              <w:rPr>
                <w:b/>
              </w:rPr>
            </w:pPr>
            <w:r>
              <w:rPr>
                <w:b/>
              </w:rPr>
              <w:t>5=high</w:t>
            </w:r>
          </w:p>
        </w:tc>
        <w:tc>
          <w:tcPr>
            <w:tcW w:w="1441" w:type="dxa"/>
            <w:vMerge w:val="restart"/>
          </w:tcPr>
          <w:p w:rsidR="005E3D28" w:rsidRDefault="00C677D7">
            <w:pPr>
              <w:pStyle w:val="TableParagraph"/>
              <w:spacing w:line="201" w:lineRule="auto"/>
              <w:ind w:left="108" w:right="178"/>
              <w:rPr>
                <w:b/>
              </w:rPr>
            </w:pPr>
            <w:r>
              <w:rPr>
                <w:b/>
              </w:rPr>
              <w:t>Risk to people from fire hazard</w:t>
            </w:r>
          </w:p>
        </w:tc>
        <w:tc>
          <w:tcPr>
            <w:tcW w:w="6548" w:type="dxa"/>
            <w:gridSpan w:val="2"/>
          </w:tcPr>
          <w:p w:rsidR="005E3D28" w:rsidRDefault="00C677D7">
            <w:pPr>
              <w:pStyle w:val="TableParagraph"/>
              <w:spacing w:line="248" w:lineRule="exact"/>
              <w:ind w:left="1764"/>
              <w:rPr>
                <w:b/>
              </w:rPr>
            </w:pPr>
            <w:r>
              <w:rPr>
                <w:b/>
              </w:rPr>
              <w:t>Measures to avoid or reduce</w:t>
            </w:r>
          </w:p>
        </w:tc>
      </w:tr>
      <w:tr w:rsidR="005E3D28" w:rsidTr="00D07122">
        <w:trPr>
          <w:trHeight w:val="793"/>
        </w:trPr>
        <w:tc>
          <w:tcPr>
            <w:tcW w:w="1920" w:type="dxa"/>
            <w:vMerge/>
            <w:tcBorders>
              <w:top w:val="nil"/>
            </w:tcBorders>
          </w:tcPr>
          <w:p w:rsidR="005E3D28" w:rsidRDefault="005E3D28">
            <w:pPr>
              <w:rPr>
                <w:sz w:val="2"/>
                <w:szCs w:val="2"/>
              </w:rPr>
            </w:pPr>
          </w:p>
        </w:tc>
        <w:tc>
          <w:tcPr>
            <w:tcW w:w="864" w:type="dxa"/>
            <w:vMerge/>
            <w:tcBorders>
              <w:top w:val="nil"/>
            </w:tcBorders>
          </w:tcPr>
          <w:p w:rsidR="005E3D28" w:rsidRDefault="005E3D28">
            <w:pPr>
              <w:rPr>
                <w:sz w:val="2"/>
                <w:szCs w:val="2"/>
              </w:rPr>
            </w:pPr>
          </w:p>
        </w:tc>
        <w:tc>
          <w:tcPr>
            <w:tcW w:w="1441" w:type="dxa"/>
            <w:vMerge/>
            <w:tcBorders>
              <w:top w:val="nil"/>
            </w:tcBorders>
          </w:tcPr>
          <w:p w:rsidR="005E3D28" w:rsidRDefault="005E3D28">
            <w:pPr>
              <w:rPr>
                <w:sz w:val="2"/>
                <w:szCs w:val="2"/>
              </w:rPr>
            </w:pPr>
          </w:p>
        </w:tc>
        <w:tc>
          <w:tcPr>
            <w:tcW w:w="3018" w:type="dxa"/>
          </w:tcPr>
          <w:p w:rsidR="005E3D28" w:rsidRDefault="00C677D7">
            <w:pPr>
              <w:pStyle w:val="TableParagraph"/>
              <w:spacing w:line="268" w:lineRule="exact"/>
              <w:rPr>
                <w:b/>
              </w:rPr>
            </w:pPr>
            <w:r>
              <w:rPr>
                <w:b/>
              </w:rPr>
              <w:t>The hazard</w:t>
            </w:r>
          </w:p>
        </w:tc>
        <w:tc>
          <w:tcPr>
            <w:tcW w:w="3530" w:type="dxa"/>
          </w:tcPr>
          <w:p w:rsidR="005E3D28" w:rsidRDefault="00C677D7">
            <w:pPr>
              <w:pStyle w:val="TableParagraph"/>
              <w:spacing w:line="268" w:lineRule="exact"/>
              <w:rPr>
                <w:b/>
              </w:rPr>
            </w:pPr>
            <w:r>
              <w:rPr>
                <w:b/>
              </w:rPr>
              <w:t>Risk to people</w:t>
            </w:r>
          </w:p>
        </w:tc>
      </w:tr>
      <w:tr w:rsidR="005E3D28" w:rsidTr="00D07122">
        <w:trPr>
          <w:trHeight w:val="686"/>
        </w:trPr>
        <w:tc>
          <w:tcPr>
            <w:tcW w:w="1920" w:type="dxa"/>
            <w:tcBorders>
              <w:bottom w:val="nil"/>
            </w:tcBorders>
          </w:tcPr>
          <w:p w:rsidR="005E3D28" w:rsidRDefault="00C677D7">
            <w:pPr>
              <w:pStyle w:val="TableParagraph"/>
              <w:spacing w:line="204" w:lineRule="auto"/>
              <w:ind w:right="183"/>
            </w:pPr>
            <w:r>
              <w:t>Fire inside the Hall</w:t>
            </w:r>
          </w:p>
        </w:tc>
        <w:tc>
          <w:tcPr>
            <w:tcW w:w="864" w:type="dxa"/>
            <w:tcBorders>
              <w:bottom w:val="nil"/>
            </w:tcBorders>
          </w:tcPr>
          <w:p w:rsidR="005E3D28" w:rsidRDefault="00C677D7">
            <w:pPr>
              <w:pStyle w:val="TableParagraph"/>
              <w:spacing w:line="268" w:lineRule="exact"/>
              <w:ind w:left="108"/>
            </w:pPr>
            <w:r>
              <w:t>2</w:t>
            </w:r>
          </w:p>
        </w:tc>
        <w:tc>
          <w:tcPr>
            <w:tcW w:w="1441" w:type="dxa"/>
            <w:tcBorders>
              <w:bottom w:val="nil"/>
            </w:tcBorders>
          </w:tcPr>
          <w:p w:rsidR="005E3D28" w:rsidRDefault="00C677D7">
            <w:pPr>
              <w:pStyle w:val="TableParagraph"/>
              <w:spacing w:line="204" w:lineRule="auto"/>
              <w:ind w:left="108" w:right="348"/>
            </w:pPr>
            <w:r>
              <w:t>Smoke inhalation.</w:t>
            </w:r>
          </w:p>
        </w:tc>
        <w:tc>
          <w:tcPr>
            <w:tcW w:w="3018" w:type="dxa"/>
            <w:vMerge w:val="restart"/>
          </w:tcPr>
          <w:p w:rsidR="005E3D28" w:rsidRDefault="00C677D7">
            <w:pPr>
              <w:pStyle w:val="TableParagraph"/>
              <w:spacing w:line="204" w:lineRule="auto"/>
              <w:ind w:right="125"/>
            </w:pPr>
            <w:r>
              <w:t xml:space="preserve">Ensure sufficient and correct </w:t>
            </w:r>
            <w:proofErr w:type="spellStart"/>
            <w:r>
              <w:t>fire fighting</w:t>
            </w:r>
            <w:proofErr w:type="spellEnd"/>
            <w:r>
              <w:t xml:space="preserve"> equipment is available and that a qualified practitioner inspects it at least once per year and provides advice on changing or moving locations as appropriate. The location of fire-fighting equipment and exits are clearly marked on a plan of the </w:t>
            </w:r>
            <w:r w:rsidR="00AB4137">
              <w:t>Windmill Centre</w:t>
            </w:r>
            <w:r>
              <w:t>, which is published on the notice</w:t>
            </w:r>
            <w:r>
              <w:rPr>
                <w:spacing w:val="-3"/>
              </w:rPr>
              <w:t xml:space="preserve"> </w:t>
            </w:r>
            <w:r>
              <w:t>boards.</w:t>
            </w:r>
          </w:p>
          <w:p w:rsidR="005E3D28" w:rsidRDefault="00C677D7">
            <w:pPr>
              <w:pStyle w:val="TableParagraph"/>
              <w:spacing w:line="204" w:lineRule="auto"/>
              <w:ind w:right="541"/>
            </w:pPr>
            <w:r>
              <w:t>A test of continued illumination in event of a power failure will be done quarterly.</w:t>
            </w:r>
          </w:p>
          <w:p w:rsidR="005E3D28" w:rsidRDefault="00C677D7">
            <w:pPr>
              <w:pStyle w:val="TableParagraph"/>
              <w:spacing w:line="204" w:lineRule="auto"/>
              <w:ind w:right="148"/>
            </w:pPr>
            <w:r>
              <w:t xml:space="preserve">Ensure that </w:t>
            </w:r>
            <w:r w:rsidR="00AB4137">
              <w:t>Windmill Centre</w:t>
            </w:r>
            <w:r>
              <w:t xml:space="preserve"> furnishings are made of a non- combustible material or a material that has been Fire Proofed to the standard applicable at the time of purchase. This includes window curtains, chairs, etc. Hall users will be asked to remove all their rubbish when they leave the building (i.e. emptying any bins)</w:t>
            </w:r>
          </w:p>
        </w:tc>
        <w:tc>
          <w:tcPr>
            <w:tcW w:w="3530" w:type="dxa"/>
            <w:vMerge w:val="restart"/>
          </w:tcPr>
          <w:p w:rsidR="005E3D28" w:rsidRDefault="00C677D7">
            <w:pPr>
              <w:pStyle w:val="TableParagraph"/>
              <w:spacing w:line="204" w:lineRule="auto"/>
              <w:ind w:right="99"/>
            </w:pPr>
            <w:r>
              <w:t xml:space="preserve">Ensure Hall users/hirers know how to evacuate the building, where the fire-fighting equipment is located and where the assembly points are. A fire alert system has been installed so that an alarm can be raised if a fire is discovered; it also includes heat detection in the room most at risk – the kitchen. Ensure the hirers know that they must organize a fire </w:t>
            </w:r>
            <w:proofErr w:type="spellStart"/>
            <w:r>
              <w:t>martial</w:t>
            </w:r>
            <w:proofErr w:type="spellEnd"/>
            <w:r>
              <w:t xml:space="preserve"> to check the building has been vacated after alarm and that the fire brigade has been called out (as appropriate). Ensure all Fire Exit doors are checked for illumination, ease of opening and that the Emergency Exit Routes are clear on a weekly basis. The Management Committee tests the ease of access to and through the escape routes and to the assembly points at least once per year and logs the</w:t>
            </w:r>
            <w:r>
              <w:rPr>
                <w:spacing w:val="-8"/>
              </w:rPr>
              <w:t xml:space="preserve"> </w:t>
            </w:r>
            <w:r>
              <w:t>results.</w:t>
            </w:r>
          </w:p>
          <w:p w:rsidR="005E3D28" w:rsidRDefault="00C677D7">
            <w:pPr>
              <w:pStyle w:val="TableParagraph"/>
              <w:spacing w:line="231" w:lineRule="exact"/>
            </w:pPr>
            <w:r>
              <w:t>Users will be made aware of</w:t>
            </w:r>
          </w:p>
          <w:p w:rsidR="005E3D28" w:rsidRDefault="00C677D7">
            <w:pPr>
              <w:pStyle w:val="TableParagraph"/>
              <w:spacing w:before="4" w:line="204" w:lineRule="auto"/>
              <w:ind w:right="112"/>
            </w:pPr>
            <w:r>
              <w:t>their responsibilities under the Premises License (via the Booking process). Regular User Groups will be advised that they should carry out their own Risk Assessment and that a copy should be lodged with</w:t>
            </w:r>
            <w:r>
              <w:rPr>
                <w:spacing w:val="-3"/>
              </w:rPr>
              <w:t xml:space="preserve"> </w:t>
            </w:r>
            <w:r>
              <w:t>the</w:t>
            </w:r>
          </w:p>
          <w:p w:rsidR="005E3D28" w:rsidRDefault="00C677D7">
            <w:pPr>
              <w:pStyle w:val="TableParagraph"/>
              <w:spacing w:line="252" w:lineRule="exact"/>
            </w:pPr>
            <w:r>
              <w:t>Management</w:t>
            </w:r>
            <w:r>
              <w:rPr>
                <w:spacing w:val="-5"/>
              </w:rPr>
              <w:t xml:space="preserve"> </w:t>
            </w:r>
            <w:r>
              <w:t>Committee.</w:t>
            </w:r>
          </w:p>
        </w:tc>
      </w:tr>
      <w:tr w:rsidR="005E3D28" w:rsidTr="00D07122">
        <w:trPr>
          <w:trHeight w:val="527"/>
        </w:trPr>
        <w:tc>
          <w:tcPr>
            <w:tcW w:w="1920" w:type="dxa"/>
            <w:tcBorders>
              <w:top w:val="nil"/>
              <w:bottom w:val="nil"/>
            </w:tcBorders>
          </w:tcPr>
          <w:p w:rsidR="005E3D28" w:rsidRDefault="005E3D28">
            <w:pPr>
              <w:pStyle w:val="TableParagraph"/>
              <w:ind w:left="0"/>
              <w:rPr>
                <w:rFonts w:ascii="Times New Roman"/>
              </w:rPr>
            </w:pPr>
          </w:p>
        </w:tc>
        <w:tc>
          <w:tcPr>
            <w:tcW w:w="864" w:type="dxa"/>
            <w:tcBorders>
              <w:top w:val="nil"/>
              <w:bottom w:val="nil"/>
            </w:tcBorders>
          </w:tcPr>
          <w:p w:rsidR="005E3D28" w:rsidRDefault="005E3D28">
            <w:pPr>
              <w:pStyle w:val="TableParagraph"/>
              <w:ind w:left="0"/>
              <w:rPr>
                <w:rFonts w:ascii="Times New Roman"/>
              </w:rPr>
            </w:pPr>
          </w:p>
        </w:tc>
        <w:tc>
          <w:tcPr>
            <w:tcW w:w="1441" w:type="dxa"/>
            <w:tcBorders>
              <w:top w:val="nil"/>
              <w:bottom w:val="nil"/>
            </w:tcBorders>
          </w:tcPr>
          <w:p w:rsidR="005E3D28" w:rsidRDefault="00C677D7">
            <w:pPr>
              <w:pStyle w:val="TableParagraph"/>
              <w:spacing w:before="61"/>
              <w:ind w:left="108"/>
            </w:pPr>
            <w:r>
              <w:t>Burns.</w:t>
            </w:r>
          </w:p>
        </w:tc>
        <w:tc>
          <w:tcPr>
            <w:tcW w:w="3018" w:type="dxa"/>
            <w:vMerge/>
            <w:tcBorders>
              <w:top w:val="nil"/>
            </w:tcBorders>
          </w:tcPr>
          <w:p w:rsidR="005E3D28" w:rsidRDefault="005E3D28">
            <w:pPr>
              <w:rPr>
                <w:sz w:val="2"/>
                <w:szCs w:val="2"/>
              </w:rPr>
            </w:pPr>
          </w:p>
        </w:tc>
        <w:tc>
          <w:tcPr>
            <w:tcW w:w="3530" w:type="dxa"/>
            <w:vMerge/>
            <w:tcBorders>
              <w:top w:val="nil"/>
            </w:tcBorders>
          </w:tcPr>
          <w:p w:rsidR="005E3D28" w:rsidRDefault="005E3D28">
            <w:pPr>
              <w:rPr>
                <w:sz w:val="2"/>
                <w:szCs w:val="2"/>
              </w:rPr>
            </w:pPr>
          </w:p>
        </w:tc>
      </w:tr>
      <w:tr w:rsidR="005E3D28" w:rsidTr="00D07122">
        <w:trPr>
          <w:trHeight w:val="527"/>
        </w:trPr>
        <w:tc>
          <w:tcPr>
            <w:tcW w:w="1920" w:type="dxa"/>
            <w:tcBorders>
              <w:top w:val="nil"/>
              <w:bottom w:val="nil"/>
            </w:tcBorders>
          </w:tcPr>
          <w:p w:rsidR="005E3D28" w:rsidRDefault="005E3D28">
            <w:pPr>
              <w:pStyle w:val="TableParagraph"/>
              <w:ind w:left="0"/>
              <w:rPr>
                <w:rFonts w:ascii="Times New Roman"/>
              </w:rPr>
            </w:pPr>
          </w:p>
        </w:tc>
        <w:tc>
          <w:tcPr>
            <w:tcW w:w="864" w:type="dxa"/>
            <w:tcBorders>
              <w:top w:val="nil"/>
              <w:bottom w:val="nil"/>
            </w:tcBorders>
          </w:tcPr>
          <w:p w:rsidR="005E3D28" w:rsidRDefault="005E3D28">
            <w:pPr>
              <w:pStyle w:val="TableParagraph"/>
              <w:ind w:left="0"/>
              <w:rPr>
                <w:rFonts w:ascii="Times New Roman"/>
              </w:rPr>
            </w:pPr>
          </w:p>
        </w:tc>
        <w:tc>
          <w:tcPr>
            <w:tcW w:w="1441" w:type="dxa"/>
            <w:tcBorders>
              <w:top w:val="nil"/>
              <w:bottom w:val="nil"/>
            </w:tcBorders>
          </w:tcPr>
          <w:p w:rsidR="005E3D28" w:rsidRDefault="00C677D7">
            <w:pPr>
              <w:pStyle w:val="TableParagraph"/>
              <w:spacing w:before="61"/>
              <w:ind w:left="108"/>
            </w:pPr>
            <w:r>
              <w:t>Death.</w:t>
            </w:r>
          </w:p>
        </w:tc>
        <w:tc>
          <w:tcPr>
            <w:tcW w:w="3018" w:type="dxa"/>
            <w:vMerge/>
            <w:tcBorders>
              <w:top w:val="nil"/>
            </w:tcBorders>
          </w:tcPr>
          <w:p w:rsidR="005E3D28" w:rsidRDefault="005E3D28">
            <w:pPr>
              <w:rPr>
                <w:sz w:val="2"/>
                <w:szCs w:val="2"/>
              </w:rPr>
            </w:pPr>
          </w:p>
        </w:tc>
        <w:tc>
          <w:tcPr>
            <w:tcW w:w="3530" w:type="dxa"/>
            <w:vMerge/>
            <w:tcBorders>
              <w:top w:val="nil"/>
            </w:tcBorders>
          </w:tcPr>
          <w:p w:rsidR="005E3D28" w:rsidRDefault="005E3D28">
            <w:pPr>
              <w:rPr>
                <w:sz w:val="2"/>
                <w:szCs w:val="2"/>
              </w:rPr>
            </w:pPr>
          </w:p>
        </w:tc>
      </w:tr>
      <w:tr w:rsidR="005E3D28" w:rsidTr="00D07122">
        <w:trPr>
          <w:trHeight w:val="7630"/>
        </w:trPr>
        <w:tc>
          <w:tcPr>
            <w:tcW w:w="1920" w:type="dxa"/>
            <w:tcBorders>
              <w:top w:val="nil"/>
            </w:tcBorders>
          </w:tcPr>
          <w:p w:rsidR="005E3D28" w:rsidRDefault="005E3D28">
            <w:pPr>
              <w:pStyle w:val="TableParagraph"/>
              <w:ind w:left="0"/>
              <w:rPr>
                <w:rFonts w:ascii="Times New Roman"/>
              </w:rPr>
            </w:pPr>
          </w:p>
        </w:tc>
        <w:tc>
          <w:tcPr>
            <w:tcW w:w="864" w:type="dxa"/>
            <w:tcBorders>
              <w:top w:val="nil"/>
            </w:tcBorders>
          </w:tcPr>
          <w:p w:rsidR="005E3D28" w:rsidRDefault="005E3D28">
            <w:pPr>
              <w:pStyle w:val="TableParagraph"/>
              <w:ind w:left="0"/>
              <w:rPr>
                <w:rFonts w:ascii="Times New Roman"/>
              </w:rPr>
            </w:pPr>
          </w:p>
        </w:tc>
        <w:tc>
          <w:tcPr>
            <w:tcW w:w="1441" w:type="dxa"/>
            <w:tcBorders>
              <w:top w:val="nil"/>
            </w:tcBorders>
          </w:tcPr>
          <w:p w:rsidR="005E3D28" w:rsidRDefault="00C677D7">
            <w:pPr>
              <w:pStyle w:val="TableParagraph"/>
              <w:spacing w:before="100" w:line="204" w:lineRule="auto"/>
              <w:ind w:left="108" w:right="158"/>
            </w:pPr>
            <w:r>
              <w:t>Particular attention to be paid to people who are sleeping overnight or attending large events.</w:t>
            </w:r>
          </w:p>
        </w:tc>
        <w:tc>
          <w:tcPr>
            <w:tcW w:w="3018" w:type="dxa"/>
            <w:vMerge/>
            <w:tcBorders>
              <w:top w:val="nil"/>
            </w:tcBorders>
          </w:tcPr>
          <w:p w:rsidR="005E3D28" w:rsidRDefault="005E3D28">
            <w:pPr>
              <w:rPr>
                <w:sz w:val="2"/>
                <w:szCs w:val="2"/>
              </w:rPr>
            </w:pPr>
          </w:p>
        </w:tc>
        <w:tc>
          <w:tcPr>
            <w:tcW w:w="3530" w:type="dxa"/>
            <w:vMerge/>
            <w:tcBorders>
              <w:top w:val="nil"/>
            </w:tcBorders>
          </w:tcPr>
          <w:p w:rsidR="005E3D28" w:rsidRDefault="005E3D28">
            <w:pPr>
              <w:rPr>
                <w:sz w:val="2"/>
                <w:szCs w:val="2"/>
              </w:rPr>
            </w:pPr>
          </w:p>
        </w:tc>
      </w:tr>
      <w:tr w:rsidR="005E3D28" w:rsidTr="00D07122">
        <w:trPr>
          <w:trHeight w:val="282"/>
        </w:trPr>
        <w:tc>
          <w:tcPr>
            <w:tcW w:w="1920" w:type="dxa"/>
            <w:tcBorders>
              <w:bottom w:val="nil"/>
            </w:tcBorders>
          </w:tcPr>
          <w:p w:rsidR="005E3D28" w:rsidRDefault="00C677D7">
            <w:pPr>
              <w:pStyle w:val="TableParagraph"/>
              <w:spacing w:line="263" w:lineRule="exact"/>
            </w:pPr>
            <w:r>
              <w:t>Fire on the</w:t>
            </w:r>
          </w:p>
        </w:tc>
        <w:tc>
          <w:tcPr>
            <w:tcW w:w="864" w:type="dxa"/>
            <w:tcBorders>
              <w:bottom w:val="nil"/>
            </w:tcBorders>
          </w:tcPr>
          <w:p w:rsidR="005E3D28" w:rsidRDefault="00C677D7">
            <w:pPr>
              <w:pStyle w:val="TableParagraph"/>
              <w:spacing w:line="263" w:lineRule="exact"/>
              <w:ind w:left="108"/>
            </w:pPr>
            <w:r>
              <w:t>1</w:t>
            </w:r>
          </w:p>
        </w:tc>
        <w:tc>
          <w:tcPr>
            <w:tcW w:w="1441" w:type="dxa"/>
            <w:tcBorders>
              <w:bottom w:val="nil"/>
            </w:tcBorders>
          </w:tcPr>
          <w:p w:rsidR="005E3D28" w:rsidRDefault="00C677D7">
            <w:pPr>
              <w:pStyle w:val="TableParagraph"/>
              <w:spacing w:line="263" w:lineRule="exact"/>
              <w:ind w:left="108"/>
            </w:pPr>
            <w:r>
              <w:t>Evacuating</w:t>
            </w:r>
          </w:p>
        </w:tc>
        <w:tc>
          <w:tcPr>
            <w:tcW w:w="3018" w:type="dxa"/>
            <w:vMerge w:val="restart"/>
          </w:tcPr>
          <w:p w:rsidR="005E3D28" w:rsidRDefault="005E3D28">
            <w:pPr>
              <w:pStyle w:val="TableParagraph"/>
              <w:ind w:left="0"/>
              <w:rPr>
                <w:rFonts w:ascii="Times New Roman"/>
              </w:rPr>
            </w:pPr>
          </w:p>
        </w:tc>
        <w:tc>
          <w:tcPr>
            <w:tcW w:w="3530" w:type="dxa"/>
            <w:tcBorders>
              <w:bottom w:val="nil"/>
            </w:tcBorders>
          </w:tcPr>
          <w:p w:rsidR="005E3D28" w:rsidRDefault="00C677D7">
            <w:pPr>
              <w:pStyle w:val="TableParagraph"/>
              <w:spacing w:line="263" w:lineRule="exact"/>
            </w:pPr>
            <w:r>
              <w:t>Ensure hirers understand and</w:t>
            </w:r>
          </w:p>
        </w:tc>
      </w:tr>
      <w:tr w:rsidR="005E3D28" w:rsidTr="00D07122">
        <w:trPr>
          <w:trHeight w:val="258"/>
        </w:trPr>
        <w:tc>
          <w:tcPr>
            <w:tcW w:w="1920" w:type="dxa"/>
            <w:tcBorders>
              <w:top w:val="nil"/>
              <w:bottom w:val="nil"/>
            </w:tcBorders>
          </w:tcPr>
          <w:p w:rsidR="005E3D28" w:rsidRDefault="00C677D7">
            <w:pPr>
              <w:pStyle w:val="TableParagraph"/>
              <w:spacing w:line="239" w:lineRule="exact"/>
            </w:pPr>
            <w:r>
              <w:t>premises</w:t>
            </w:r>
          </w:p>
        </w:tc>
        <w:tc>
          <w:tcPr>
            <w:tcW w:w="864" w:type="dxa"/>
            <w:tcBorders>
              <w:top w:val="nil"/>
              <w:bottom w:val="nil"/>
            </w:tcBorders>
          </w:tcPr>
          <w:p w:rsidR="005E3D28" w:rsidRDefault="005E3D28">
            <w:pPr>
              <w:pStyle w:val="TableParagraph"/>
              <w:ind w:left="0"/>
              <w:rPr>
                <w:rFonts w:ascii="Times New Roman"/>
                <w:sz w:val="18"/>
              </w:rPr>
            </w:pPr>
          </w:p>
        </w:tc>
        <w:tc>
          <w:tcPr>
            <w:tcW w:w="1441" w:type="dxa"/>
            <w:tcBorders>
              <w:top w:val="nil"/>
              <w:bottom w:val="nil"/>
            </w:tcBorders>
          </w:tcPr>
          <w:p w:rsidR="005E3D28" w:rsidRDefault="00C677D7">
            <w:pPr>
              <w:pStyle w:val="TableParagraph"/>
              <w:spacing w:line="239" w:lineRule="exact"/>
              <w:ind w:left="108"/>
            </w:pPr>
            <w:r>
              <w:t>people</w:t>
            </w:r>
          </w:p>
        </w:tc>
        <w:tc>
          <w:tcPr>
            <w:tcW w:w="3018" w:type="dxa"/>
            <w:vMerge/>
            <w:tcBorders>
              <w:top w:val="nil"/>
            </w:tcBorders>
          </w:tcPr>
          <w:p w:rsidR="005E3D28" w:rsidRDefault="005E3D28">
            <w:pPr>
              <w:rPr>
                <w:sz w:val="2"/>
                <w:szCs w:val="2"/>
              </w:rPr>
            </w:pPr>
          </w:p>
        </w:tc>
        <w:tc>
          <w:tcPr>
            <w:tcW w:w="3530" w:type="dxa"/>
            <w:tcBorders>
              <w:top w:val="nil"/>
              <w:bottom w:val="nil"/>
            </w:tcBorders>
          </w:tcPr>
          <w:p w:rsidR="005E3D28" w:rsidRDefault="00C677D7">
            <w:pPr>
              <w:pStyle w:val="TableParagraph"/>
              <w:spacing w:line="239" w:lineRule="exact"/>
            </w:pPr>
            <w:r>
              <w:t>accept their responsibility to</w:t>
            </w:r>
          </w:p>
        </w:tc>
      </w:tr>
      <w:tr w:rsidR="005E3D28" w:rsidTr="00D07122">
        <w:trPr>
          <w:trHeight w:val="258"/>
        </w:trPr>
        <w:tc>
          <w:tcPr>
            <w:tcW w:w="1920" w:type="dxa"/>
            <w:tcBorders>
              <w:top w:val="nil"/>
              <w:bottom w:val="nil"/>
            </w:tcBorders>
          </w:tcPr>
          <w:p w:rsidR="005E3D28" w:rsidRDefault="00C677D7">
            <w:pPr>
              <w:pStyle w:val="TableParagraph"/>
              <w:spacing w:line="239" w:lineRule="exact"/>
            </w:pPr>
            <w:r>
              <w:t>outside the</w:t>
            </w:r>
          </w:p>
        </w:tc>
        <w:tc>
          <w:tcPr>
            <w:tcW w:w="864" w:type="dxa"/>
            <w:tcBorders>
              <w:top w:val="nil"/>
              <w:bottom w:val="nil"/>
            </w:tcBorders>
          </w:tcPr>
          <w:p w:rsidR="005E3D28" w:rsidRDefault="005E3D28">
            <w:pPr>
              <w:pStyle w:val="TableParagraph"/>
              <w:ind w:left="0"/>
              <w:rPr>
                <w:rFonts w:ascii="Times New Roman"/>
                <w:sz w:val="18"/>
              </w:rPr>
            </w:pPr>
          </w:p>
        </w:tc>
        <w:tc>
          <w:tcPr>
            <w:tcW w:w="1441" w:type="dxa"/>
            <w:tcBorders>
              <w:top w:val="nil"/>
              <w:bottom w:val="nil"/>
            </w:tcBorders>
          </w:tcPr>
          <w:p w:rsidR="005E3D28" w:rsidRDefault="00C677D7">
            <w:pPr>
              <w:pStyle w:val="TableParagraph"/>
              <w:spacing w:line="239" w:lineRule="exact"/>
              <w:ind w:left="108"/>
            </w:pPr>
            <w:r>
              <w:t>towards the</w:t>
            </w:r>
          </w:p>
        </w:tc>
        <w:tc>
          <w:tcPr>
            <w:tcW w:w="3018" w:type="dxa"/>
            <w:vMerge/>
            <w:tcBorders>
              <w:top w:val="nil"/>
            </w:tcBorders>
          </w:tcPr>
          <w:p w:rsidR="005E3D28" w:rsidRDefault="005E3D28">
            <w:pPr>
              <w:rPr>
                <w:sz w:val="2"/>
                <w:szCs w:val="2"/>
              </w:rPr>
            </w:pPr>
          </w:p>
        </w:tc>
        <w:tc>
          <w:tcPr>
            <w:tcW w:w="3530" w:type="dxa"/>
            <w:tcBorders>
              <w:top w:val="nil"/>
              <w:bottom w:val="nil"/>
            </w:tcBorders>
          </w:tcPr>
          <w:p w:rsidR="005E3D28" w:rsidRDefault="00C677D7">
            <w:pPr>
              <w:pStyle w:val="TableParagraph"/>
              <w:spacing w:line="239" w:lineRule="exact"/>
            </w:pPr>
            <w:r>
              <w:t>evacuate the building in the</w:t>
            </w:r>
          </w:p>
        </w:tc>
      </w:tr>
      <w:tr w:rsidR="005E3D28" w:rsidTr="00D07122">
        <w:trPr>
          <w:trHeight w:val="258"/>
        </w:trPr>
        <w:tc>
          <w:tcPr>
            <w:tcW w:w="1920" w:type="dxa"/>
            <w:tcBorders>
              <w:top w:val="nil"/>
              <w:bottom w:val="nil"/>
            </w:tcBorders>
          </w:tcPr>
          <w:p w:rsidR="005E3D28" w:rsidRDefault="00C677D7">
            <w:pPr>
              <w:pStyle w:val="TableParagraph"/>
              <w:spacing w:line="239" w:lineRule="exact"/>
            </w:pPr>
            <w:r>
              <w:t>Hall.</w:t>
            </w:r>
          </w:p>
        </w:tc>
        <w:tc>
          <w:tcPr>
            <w:tcW w:w="864" w:type="dxa"/>
            <w:tcBorders>
              <w:top w:val="nil"/>
              <w:bottom w:val="nil"/>
            </w:tcBorders>
          </w:tcPr>
          <w:p w:rsidR="005E3D28" w:rsidRDefault="005E3D28">
            <w:pPr>
              <w:pStyle w:val="TableParagraph"/>
              <w:ind w:left="0"/>
              <w:rPr>
                <w:rFonts w:ascii="Times New Roman"/>
                <w:sz w:val="18"/>
              </w:rPr>
            </w:pPr>
          </w:p>
        </w:tc>
        <w:tc>
          <w:tcPr>
            <w:tcW w:w="1441" w:type="dxa"/>
            <w:tcBorders>
              <w:top w:val="nil"/>
              <w:bottom w:val="nil"/>
            </w:tcBorders>
          </w:tcPr>
          <w:p w:rsidR="005E3D28" w:rsidRDefault="00C677D7">
            <w:pPr>
              <w:pStyle w:val="TableParagraph"/>
              <w:spacing w:line="239" w:lineRule="exact"/>
              <w:ind w:left="108"/>
            </w:pPr>
            <w:r>
              <w:t>source of the</w:t>
            </w:r>
          </w:p>
        </w:tc>
        <w:tc>
          <w:tcPr>
            <w:tcW w:w="3018" w:type="dxa"/>
            <w:vMerge/>
            <w:tcBorders>
              <w:top w:val="nil"/>
            </w:tcBorders>
          </w:tcPr>
          <w:p w:rsidR="005E3D28" w:rsidRDefault="005E3D28">
            <w:pPr>
              <w:rPr>
                <w:sz w:val="2"/>
                <w:szCs w:val="2"/>
              </w:rPr>
            </w:pPr>
          </w:p>
        </w:tc>
        <w:tc>
          <w:tcPr>
            <w:tcW w:w="3530" w:type="dxa"/>
            <w:tcBorders>
              <w:top w:val="nil"/>
              <w:bottom w:val="nil"/>
            </w:tcBorders>
          </w:tcPr>
          <w:p w:rsidR="005E3D28" w:rsidRDefault="00C677D7">
            <w:pPr>
              <w:pStyle w:val="TableParagraph"/>
              <w:spacing w:line="239" w:lineRule="exact"/>
            </w:pPr>
            <w:r>
              <w:t>event of a fire and to allocate a</w:t>
            </w:r>
          </w:p>
        </w:tc>
      </w:tr>
      <w:tr w:rsidR="005E3D28" w:rsidTr="00D07122">
        <w:trPr>
          <w:trHeight w:val="257"/>
        </w:trPr>
        <w:tc>
          <w:tcPr>
            <w:tcW w:w="1920" w:type="dxa"/>
            <w:tcBorders>
              <w:top w:val="nil"/>
              <w:bottom w:val="nil"/>
            </w:tcBorders>
          </w:tcPr>
          <w:p w:rsidR="005E3D28" w:rsidRDefault="005E3D28">
            <w:pPr>
              <w:pStyle w:val="TableParagraph"/>
              <w:ind w:left="0"/>
              <w:rPr>
                <w:rFonts w:ascii="Times New Roman"/>
                <w:sz w:val="18"/>
              </w:rPr>
            </w:pPr>
          </w:p>
        </w:tc>
        <w:tc>
          <w:tcPr>
            <w:tcW w:w="864" w:type="dxa"/>
            <w:tcBorders>
              <w:top w:val="nil"/>
              <w:bottom w:val="nil"/>
            </w:tcBorders>
          </w:tcPr>
          <w:p w:rsidR="005E3D28" w:rsidRDefault="005E3D28">
            <w:pPr>
              <w:pStyle w:val="TableParagraph"/>
              <w:ind w:left="0"/>
              <w:rPr>
                <w:rFonts w:ascii="Times New Roman"/>
                <w:sz w:val="18"/>
              </w:rPr>
            </w:pPr>
          </w:p>
        </w:tc>
        <w:tc>
          <w:tcPr>
            <w:tcW w:w="1441" w:type="dxa"/>
            <w:tcBorders>
              <w:top w:val="nil"/>
              <w:bottom w:val="nil"/>
            </w:tcBorders>
          </w:tcPr>
          <w:p w:rsidR="005E3D28" w:rsidRDefault="00C677D7">
            <w:pPr>
              <w:pStyle w:val="TableParagraph"/>
              <w:spacing w:line="238" w:lineRule="exact"/>
              <w:ind w:left="108"/>
            </w:pPr>
            <w:r>
              <w:t>fire</w:t>
            </w:r>
          </w:p>
        </w:tc>
        <w:tc>
          <w:tcPr>
            <w:tcW w:w="3018" w:type="dxa"/>
            <w:vMerge/>
            <w:tcBorders>
              <w:top w:val="nil"/>
            </w:tcBorders>
          </w:tcPr>
          <w:p w:rsidR="005E3D28" w:rsidRDefault="005E3D28">
            <w:pPr>
              <w:rPr>
                <w:sz w:val="2"/>
                <w:szCs w:val="2"/>
              </w:rPr>
            </w:pPr>
          </w:p>
        </w:tc>
        <w:tc>
          <w:tcPr>
            <w:tcW w:w="3530" w:type="dxa"/>
            <w:tcBorders>
              <w:top w:val="nil"/>
              <w:bottom w:val="nil"/>
            </w:tcBorders>
          </w:tcPr>
          <w:p w:rsidR="005E3D28" w:rsidRDefault="00C677D7">
            <w:pPr>
              <w:pStyle w:val="TableParagraph"/>
              <w:spacing w:line="238" w:lineRule="exact"/>
            </w:pPr>
            <w:r>
              <w:t>responsible person to ensure</w:t>
            </w:r>
          </w:p>
        </w:tc>
      </w:tr>
      <w:tr w:rsidR="005E3D28" w:rsidTr="00D07122">
        <w:trPr>
          <w:trHeight w:val="257"/>
        </w:trPr>
        <w:tc>
          <w:tcPr>
            <w:tcW w:w="1920" w:type="dxa"/>
            <w:tcBorders>
              <w:top w:val="nil"/>
              <w:bottom w:val="nil"/>
            </w:tcBorders>
          </w:tcPr>
          <w:p w:rsidR="005E3D28" w:rsidRDefault="005E3D28">
            <w:pPr>
              <w:pStyle w:val="TableParagraph"/>
              <w:ind w:left="0"/>
              <w:rPr>
                <w:rFonts w:ascii="Times New Roman"/>
                <w:sz w:val="18"/>
              </w:rPr>
            </w:pPr>
          </w:p>
        </w:tc>
        <w:tc>
          <w:tcPr>
            <w:tcW w:w="864" w:type="dxa"/>
            <w:tcBorders>
              <w:top w:val="nil"/>
              <w:bottom w:val="nil"/>
            </w:tcBorders>
          </w:tcPr>
          <w:p w:rsidR="005E3D28" w:rsidRDefault="005E3D28">
            <w:pPr>
              <w:pStyle w:val="TableParagraph"/>
              <w:ind w:left="0"/>
              <w:rPr>
                <w:rFonts w:ascii="Times New Roman"/>
                <w:sz w:val="18"/>
              </w:rPr>
            </w:pPr>
          </w:p>
        </w:tc>
        <w:tc>
          <w:tcPr>
            <w:tcW w:w="1441" w:type="dxa"/>
            <w:tcBorders>
              <w:top w:val="nil"/>
              <w:bottom w:val="nil"/>
            </w:tcBorders>
          </w:tcPr>
          <w:p w:rsidR="005E3D28" w:rsidRDefault="005E3D28">
            <w:pPr>
              <w:pStyle w:val="TableParagraph"/>
              <w:ind w:left="0"/>
              <w:rPr>
                <w:rFonts w:ascii="Times New Roman"/>
                <w:sz w:val="18"/>
              </w:rPr>
            </w:pPr>
          </w:p>
        </w:tc>
        <w:tc>
          <w:tcPr>
            <w:tcW w:w="3018" w:type="dxa"/>
            <w:vMerge/>
            <w:tcBorders>
              <w:top w:val="nil"/>
            </w:tcBorders>
          </w:tcPr>
          <w:p w:rsidR="005E3D28" w:rsidRDefault="005E3D28">
            <w:pPr>
              <w:rPr>
                <w:sz w:val="2"/>
                <w:szCs w:val="2"/>
              </w:rPr>
            </w:pPr>
          </w:p>
        </w:tc>
        <w:tc>
          <w:tcPr>
            <w:tcW w:w="3530" w:type="dxa"/>
            <w:tcBorders>
              <w:top w:val="nil"/>
              <w:bottom w:val="nil"/>
            </w:tcBorders>
          </w:tcPr>
          <w:p w:rsidR="005E3D28" w:rsidRDefault="00C677D7">
            <w:pPr>
              <w:pStyle w:val="TableParagraph"/>
              <w:spacing w:line="238" w:lineRule="exact"/>
            </w:pPr>
            <w:r>
              <w:t>the evacuation is coordinated</w:t>
            </w:r>
          </w:p>
        </w:tc>
      </w:tr>
      <w:tr w:rsidR="005E3D28" w:rsidTr="00D07122">
        <w:trPr>
          <w:trHeight w:val="244"/>
        </w:trPr>
        <w:tc>
          <w:tcPr>
            <w:tcW w:w="1920" w:type="dxa"/>
            <w:tcBorders>
              <w:top w:val="nil"/>
            </w:tcBorders>
          </w:tcPr>
          <w:p w:rsidR="005E3D28" w:rsidRDefault="005E3D28">
            <w:pPr>
              <w:pStyle w:val="TableParagraph"/>
              <w:ind w:left="0"/>
              <w:rPr>
                <w:rFonts w:ascii="Times New Roman"/>
                <w:sz w:val="16"/>
              </w:rPr>
            </w:pPr>
          </w:p>
        </w:tc>
        <w:tc>
          <w:tcPr>
            <w:tcW w:w="864" w:type="dxa"/>
            <w:tcBorders>
              <w:top w:val="nil"/>
            </w:tcBorders>
          </w:tcPr>
          <w:p w:rsidR="005E3D28" w:rsidRDefault="005E3D28">
            <w:pPr>
              <w:pStyle w:val="TableParagraph"/>
              <w:ind w:left="0"/>
              <w:rPr>
                <w:rFonts w:ascii="Times New Roman"/>
                <w:sz w:val="16"/>
              </w:rPr>
            </w:pPr>
          </w:p>
        </w:tc>
        <w:tc>
          <w:tcPr>
            <w:tcW w:w="1441" w:type="dxa"/>
            <w:tcBorders>
              <w:top w:val="nil"/>
            </w:tcBorders>
          </w:tcPr>
          <w:p w:rsidR="005E3D28" w:rsidRDefault="005E3D28">
            <w:pPr>
              <w:pStyle w:val="TableParagraph"/>
              <w:ind w:left="0"/>
              <w:rPr>
                <w:rFonts w:ascii="Times New Roman"/>
                <w:sz w:val="16"/>
              </w:rPr>
            </w:pPr>
          </w:p>
        </w:tc>
        <w:tc>
          <w:tcPr>
            <w:tcW w:w="3018" w:type="dxa"/>
            <w:vMerge/>
            <w:tcBorders>
              <w:top w:val="nil"/>
            </w:tcBorders>
          </w:tcPr>
          <w:p w:rsidR="005E3D28" w:rsidRDefault="005E3D28">
            <w:pPr>
              <w:rPr>
                <w:sz w:val="2"/>
                <w:szCs w:val="2"/>
              </w:rPr>
            </w:pPr>
          </w:p>
        </w:tc>
        <w:tc>
          <w:tcPr>
            <w:tcW w:w="3530" w:type="dxa"/>
            <w:tcBorders>
              <w:top w:val="nil"/>
            </w:tcBorders>
          </w:tcPr>
          <w:p w:rsidR="005E3D28" w:rsidRDefault="00C677D7">
            <w:pPr>
              <w:pStyle w:val="TableParagraph"/>
              <w:spacing w:line="224" w:lineRule="exact"/>
            </w:pPr>
            <w:r>
              <w:t>properly and safely.</w:t>
            </w:r>
          </w:p>
        </w:tc>
      </w:tr>
    </w:tbl>
    <w:p w:rsidR="005E3D28" w:rsidRDefault="005E3D28">
      <w:pPr>
        <w:spacing w:line="224" w:lineRule="exact"/>
        <w:sectPr w:rsidR="005E3D28">
          <w:pgSz w:w="11910" w:h="16840"/>
          <w:pgMar w:top="1420" w:right="540" w:bottom="1160" w:left="600" w:header="0" w:footer="892" w:gutter="0"/>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864"/>
        <w:gridCol w:w="1441"/>
        <w:gridCol w:w="3018"/>
        <w:gridCol w:w="3530"/>
      </w:tblGrid>
      <w:tr w:rsidR="005E3D28" w:rsidTr="00D07122">
        <w:trPr>
          <w:trHeight w:val="2685"/>
        </w:trPr>
        <w:tc>
          <w:tcPr>
            <w:tcW w:w="1920" w:type="dxa"/>
          </w:tcPr>
          <w:p w:rsidR="005E3D28" w:rsidRDefault="00C677D7">
            <w:pPr>
              <w:pStyle w:val="TableParagraph"/>
              <w:spacing w:line="204" w:lineRule="auto"/>
              <w:ind w:right="122"/>
            </w:pPr>
            <w:r>
              <w:lastRenderedPageBreak/>
              <w:t xml:space="preserve">Faulty </w:t>
            </w:r>
            <w:r>
              <w:rPr>
                <w:spacing w:val="-3"/>
              </w:rPr>
              <w:t xml:space="preserve">electrics </w:t>
            </w:r>
            <w:r>
              <w:t>in mains power supply, ring mains, lighting circuits, kitchen appliances or portable</w:t>
            </w:r>
          </w:p>
          <w:p w:rsidR="005E3D28" w:rsidRDefault="00C677D7">
            <w:pPr>
              <w:pStyle w:val="TableParagraph"/>
              <w:spacing w:line="250" w:lineRule="exact"/>
            </w:pPr>
            <w:r>
              <w:t>devices.</w:t>
            </w:r>
          </w:p>
        </w:tc>
        <w:tc>
          <w:tcPr>
            <w:tcW w:w="864" w:type="dxa"/>
          </w:tcPr>
          <w:p w:rsidR="005E3D28" w:rsidRDefault="00C677D7">
            <w:pPr>
              <w:pStyle w:val="TableParagraph"/>
              <w:spacing w:line="268" w:lineRule="exact"/>
              <w:ind w:left="108"/>
            </w:pPr>
            <w:r>
              <w:t>1</w:t>
            </w:r>
          </w:p>
        </w:tc>
        <w:tc>
          <w:tcPr>
            <w:tcW w:w="1441" w:type="dxa"/>
          </w:tcPr>
          <w:p w:rsidR="005E3D28" w:rsidRDefault="00C677D7">
            <w:pPr>
              <w:pStyle w:val="TableParagraph"/>
              <w:spacing w:line="204" w:lineRule="auto"/>
              <w:ind w:left="108" w:right="128"/>
            </w:pPr>
            <w:r>
              <w:rPr>
                <w:spacing w:val="-1"/>
              </w:rPr>
              <w:t xml:space="preserve">Electrocution </w:t>
            </w:r>
            <w:r>
              <w:t>while attempting to put out the fire with water.</w:t>
            </w:r>
          </w:p>
        </w:tc>
        <w:tc>
          <w:tcPr>
            <w:tcW w:w="3018" w:type="dxa"/>
          </w:tcPr>
          <w:p w:rsidR="005E3D28" w:rsidRDefault="00C677D7">
            <w:pPr>
              <w:pStyle w:val="TableParagraph"/>
              <w:spacing w:line="204" w:lineRule="auto"/>
              <w:ind w:right="107"/>
            </w:pPr>
            <w:r>
              <w:t>A qualified practitioner checks the fixed wiring once every 3 years and portable appliances are checked every year. A Certificate of Inspection will be obtained for each inspection.</w:t>
            </w:r>
          </w:p>
        </w:tc>
        <w:tc>
          <w:tcPr>
            <w:tcW w:w="3530" w:type="dxa"/>
          </w:tcPr>
          <w:p w:rsidR="005E3D28" w:rsidRDefault="00C677D7">
            <w:pPr>
              <w:pStyle w:val="TableParagraph"/>
              <w:spacing w:line="204" w:lineRule="auto"/>
              <w:ind w:right="210"/>
            </w:pPr>
            <w:r>
              <w:t xml:space="preserve">Ensure suitable (not water) </w:t>
            </w:r>
            <w:proofErr w:type="spellStart"/>
            <w:r>
              <w:t>fire fighting</w:t>
            </w:r>
            <w:proofErr w:type="spellEnd"/>
            <w:r>
              <w:t xml:space="preserve"> equipment is available close to the likely sources of electrical fires.</w:t>
            </w:r>
          </w:p>
        </w:tc>
      </w:tr>
      <w:tr w:rsidR="005E3D28" w:rsidTr="00D07122">
        <w:trPr>
          <w:trHeight w:val="1613"/>
        </w:trPr>
        <w:tc>
          <w:tcPr>
            <w:tcW w:w="1920" w:type="dxa"/>
          </w:tcPr>
          <w:p w:rsidR="005E3D28" w:rsidRDefault="00C677D7">
            <w:pPr>
              <w:pStyle w:val="TableParagraph"/>
              <w:spacing w:line="204" w:lineRule="auto"/>
              <w:ind w:right="198"/>
            </w:pPr>
            <w:r>
              <w:t>Gas leak in mains supply to boilers, oven and water heaters</w:t>
            </w:r>
          </w:p>
        </w:tc>
        <w:tc>
          <w:tcPr>
            <w:tcW w:w="864" w:type="dxa"/>
          </w:tcPr>
          <w:p w:rsidR="005E3D28" w:rsidRDefault="00C677D7">
            <w:pPr>
              <w:pStyle w:val="TableParagraph"/>
              <w:spacing w:line="268" w:lineRule="exact"/>
              <w:ind w:left="108"/>
            </w:pPr>
            <w:r>
              <w:t>1</w:t>
            </w:r>
          </w:p>
        </w:tc>
        <w:tc>
          <w:tcPr>
            <w:tcW w:w="1441" w:type="dxa"/>
          </w:tcPr>
          <w:p w:rsidR="005E3D28" w:rsidRDefault="00C677D7">
            <w:pPr>
              <w:pStyle w:val="TableParagraph"/>
              <w:spacing w:line="204" w:lineRule="auto"/>
              <w:ind w:left="108" w:right="245"/>
            </w:pPr>
            <w:r>
              <w:t>Death from explosive combustion and associated</w:t>
            </w:r>
          </w:p>
          <w:p w:rsidR="005E3D28" w:rsidRDefault="00C677D7">
            <w:pPr>
              <w:pStyle w:val="TableParagraph"/>
              <w:spacing w:line="256" w:lineRule="exact"/>
              <w:ind w:left="108"/>
            </w:pPr>
            <w:r>
              <w:t>damage.</w:t>
            </w:r>
          </w:p>
        </w:tc>
        <w:tc>
          <w:tcPr>
            <w:tcW w:w="3018" w:type="dxa"/>
          </w:tcPr>
          <w:p w:rsidR="005E3D28" w:rsidRDefault="00C677D7">
            <w:pPr>
              <w:pStyle w:val="TableParagraph"/>
              <w:spacing w:line="204" w:lineRule="auto"/>
              <w:ind w:right="103"/>
            </w:pPr>
            <w:r>
              <w:t>Ensure that the gas appliances are is maintained and tested at least once per year. A safety inspection certificate to be obtained after each service.</w:t>
            </w:r>
          </w:p>
        </w:tc>
        <w:tc>
          <w:tcPr>
            <w:tcW w:w="3530" w:type="dxa"/>
          </w:tcPr>
          <w:p w:rsidR="005E3D28" w:rsidRDefault="005E3D28">
            <w:pPr>
              <w:pStyle w:val="TableParagraph"/>
              <w:ind w:left="0"/>
              <w:rPr>
                <w:rFonts w:ascii="Times New Roman"/>
              </w:rPr>
            </w:pPr>
          </w:p>
        </w:tc>
      </w:tr>
      <w:tr w:rsidR="005E3D28" w:rsidTr="00D07122">
        <w:trPr>
          <w:trHeight w:val="1341"/>
        </w:trPr>
        <w:tc>
          <w:tcPr>
            <w:tcW w:w="1920" w:type="dxa"/>
          </w:tcPr>
          <w:p w:rsidR="005E3D28" w:rsidRDefault="00C677D7">
            <w:pPr>
              <w:pStyle w:val="TableParagraph"/>
              <w:spacing w:line="268" w:lineRule="exact"/>
            </w:pPr>
            <w:r>
              <w:t>Smoking</w:t>
            </w:r>
          </w:p>
        </w:tc>
        <w:tc>
          <w:tcPr>
            <w:tcW w:w="864" w:type="dxa"/>
          </w:tcPr>
          <w:p w:rsidR="005E3D28" w:rsidRDefault="00C677D7">
            <w:pPr>
              <w:pStyle w:val="TableParagraph"/>
              <w:spacing w:line="268" w:lineRule="exact"/>
              <w:ind w:left="108"/>
            </w:pPr>
            <w:r>
              <w:t>3</w:t>
            </w:r>
          </w:p>
        </w:tc>
        <w:tc>
          <w:tcPr>
            <w:tcW w:w="1441" w:type="dxa"/>
          </w:tcPr>
          <w:p w:rsidR="005E3D28" w:rsidRDefault="00C677D7">
            <w:pPr>
              <w:pStyle w:val="TableParagraph"/>
              <w:spacing w:line="204" w:lineRule="auto"/>
              <w:ind w:left="108" w:right="348"/>
            </w:pPr>
            <w:r>
              <w:t>Smoke inhalation. Burns.</w:t>
            </w:r>
          </w:p>
        </w:tc>
        <w:tc>
          <w:tcPr>
            <w:tcW w:w="3018" w:type="dxa"/>
          </w:tcPr>
          <w:p w:rsidR="005E3D28" w:rsidRDefault="00C677D7">
            <w:pPr>
              <w:pStyle w:val="TableParagraph"/>
              <w:spacing w:line="204" w:lineRule="auto"/>
              <w:ind w:right="206"/>
            </w:pPr>
            <w:r>
              <w:t>A No Smoking policy enforced throughout the premises. No Smoking signs strategically placed throughout the</w:t>
            </w:r>
          </w:p>
          <w:p w:rsidR="005E3D28" w:rsidRDefault="00C677D7">
            <w:pPr>
              <w:pStyle w:val="TableParagraph"/>
              <w:spacing w:line="254" w:lineRule="exact"/>
            </w:pPr>
            <w:r>
              <w:t>building.</w:t>
            </w:r>
          </w:p>
        </w:tc>
        <w:tc>
          <w:tcPr>
            <w:tcW w:w="3530" w:type="dxa"/>
          </w:tcPr>
          <w:p w:rsidR="005E3D28" w:rsidRDefault="005E3D28">
            <w:pPr>
              <w:pStyle w:val="TableParagraph"/>
              <w:ind w:left="0"/>
              <w:rPr>
                <w:rFonts w:ascii="Times New Roman"/>
              </w:rPr>
            </w:pPr>
          </w:p>
        </w:tc>
      </w:tr>
      <w:tr w:rsidR="005E3D28" w:rsidTr="00D07122">
        <w:trPr>
          <w:trHeight w:val="1881"/>
        </w:trPr>
        <w:tc>
          <w:tcPr>
            <w:tcW w:w="1920" w:type="dxa"/>
          </w:tcPr>
          <w:p w:rsidR="005E3D28" w:rsidRDefault="00C677D7">
            <w:pPr>
              <w:pStyle w:val="TableParagraph"/>
              <w:spacing w:line="204" w:lineRule="auto"/>
              <w:ind w:right="604"/>
            </w:pPr>
            <w:r>
              <w:t>Cooking accidents</w:t>
            </w:r>
          </w:p>
        </w:tc>
        <w:tc>
          <w:tcPr>
            <w:tcW w:w="864" w:type="dxa"/>
          </w:tcPr>
          <w:p w:rsidR="005E3D28" w:rsidRDefault="00C677D7">
            <w:pPr>
              <w:pStyle w:val="TableParagraph"/>
              <w:spacing w:line="268" w:lineRule="exact"/>
              <w:ind w:left="108"/>
            </w:pPr>
            <w:r>
              <w:t>3</w:t>
            </w:r>
          </w:p>
        </w:tc>
        <w:tc>
          <w:tcPr>
            <w:tcW w:w="1441" w:type="dxa"/>
          </w:tcPr>
          <w:p w:rsidR="005E3D28" w:rsidRDefault="00C677D7">
            <w:pPr>
              <w:pStyle w:val="TableParagraph"/>
              <w:spacing w:line="204" w:lineRule="auto"/>
              <w:ind w:left="108" w:right="348"/>
            </w:pPr>
            <w:r>
              <w:t>Smoke inhalation. Burns.</w:t>
            </w:r>
          </w:p>
        </w:tc>
        <w:tc>
          <w:tcPr>
            <w:tcW w:w="3018" w:type="dxa"/>
          </w:tcPr>
          <w:p w:rsidR="005E3D28" w:rsidRDefault="00C677D7">
            <w:pPr>
              <w:pStyle w:val="TableParagraph"/>
              <w:spacing w:line="204" w:lineRule="auto"/>
              <w:ind w:right="122"/>
            </w:pPr>
            <w:r>
              <w:t>Ensure users are aware of appropriate safety precautions concerning the use of the cooker. No deep fat fryers allowed. Ensure there is a fire blanket available close to the</w:t>
            </w:r>
          </w:p>
          <w:p w:rsidR="005E3D28" w:rsidRDefault="00C677D7">
            <w:pPr>
              <w:pStyle w:val="TableParagraph"/>
              <w:spacing w:line="255" w:lineRule="exact"/>
            </w:pPr>
            <w:r>
              <w:t>hob, for putting out oil fires.</w:t>
            </w:r>
          </w:p>
        </w:tc>
        <w:tc>
          <w:tcPr>
            <w:tcW w:w="3530" w:type="dxa"/>
          </w:tcPr>
          <w:p w:rsidR="005E3D28" w:rsidRDefault="005E3D28">
            <w:pPr>
              <w:pStyle w:val="TableParagraph"/>
              <w:ind w:left="0"/>
              <w:rPr>
                <w:rFonts w:ascii="Times New Roman"/>
              </w:rPr>
            </w:pPr>
          </w:p>
        </w:tc>
      </w:tr>
      <w:tr w:rsidR="005E3D28" w:rsidTr="00D07122">
        <w:trPr>
          <w:trHeight w:val="1341"/>
        </w:trPr>
        <w:tc>
          <w:tcPr>
            <w:tcW w:w="1920" w:type="dxa"/>
          </w:tcPr>
          <w:p w:rsidR="005E3D28" w:rsidRDefault="00C677D7">
            <w:pPr>
              <w:pStyle w:val="TableParagraph"/>
              <w:spacing w:line="204" w:lineRule="auto"/>
              <w:ind w:right="359"/>
            </w:pPr>
            <w:r>
              <w:t>Children playing with matches or</w:t>
            </w:r>
          </w:p>
          <w:p w:rsidR="005E3D28" w:rsidRDefault="00C677D7">
            <w:pPr>
              <w:pStyle w:val="TableParagraph"/>
              <w:spacing w:line="266" w:lineRule="exact"/>
              <w:ind w:right="259"/>
            </w:pPr>
            <w:r>
              <w:t>other combustibles</w:t>
            </w:r>
          </w:p>
        </w:tc>
        <w:tc>
          <w:tcPr>
            <w:tcW w:w="864" w:type="dxa"/>
          </w:tcPr>
          <w:p w:rsidR="005E3D28" w:rsidRDefault="00C677D7">
            <w:pPr>
              <w:pStyle w:val="TableParagraph"/>
              <w:spacing w:line="268" w:lineRule="exact"/>
              <w:ind w:left="108"/>
            </w:pPr>
            <w:r>
              <w:t>2</w:t>
            </w:r>
          </w:p>
        </w:tc>
        <w:tc>
          <w:tcPr>
            <w:tcW w:w="1441" w:type="dxa"/>
          </w:tcPr>
          <w:p w:rsidR="005E3D28" w:rsidRDefault="00C677D7">
            <w:pPr>
              <w:pStyle w:val="TableParagraph"/>
              <w:spacing w:line="204" w:lineRule="auto"/>
              <w:ind w:left="108" w:right="348"/>
            </w:pPr>
            <w:r>
              <w:t>Smoke inhalation. Burns.</w:t>
            </w:r>
          </w:p>
        </w:tc>
        <w:tc>
          <w:tcPr>
            <w:tcW w:w="3018" w:type="dxa"/>
          </w:tcPr>
          <w:p w:rsidR="005E3D28" w:rsidRDefault="005E3D28">
            <w:pPr>
              <w:pStyle w:val="TableParagraph"/>
              <w:ind w:left="0"/>
              <w:rPr>
                <w:rFonts w:ascii="Times New Roman"/>
              </w:rPr>
            </w:pPr>
          </w:p>
        </w:tc>
        <w:tc>
          <w:tcPr>
            <w:tcW w:w="3530" w:type="dxa"/>
          </w:tcPr>
          <w:p w:rsidR="005E3D28" w:rsidRDefault="00C677D7">
            <w:pPr>
              <w:pStyle w:val="TableParagraph"/>
              <w:spacing w:line="204" w:lineRule="auto"/>
              <w:ind w:right="162"/>
            </w:pPr>
            <w:r>
              <w:t>Ensure hirers are aware of their responsibility to supervise children while inside the Hall.</w:t>
            </w:r>
          </w:p>
        </w:tc>
      </w:tr>
      <w:tr w:rsidR="005E3D28" w:rsidTr="00D07122">
        <w:trPr>
          <w:trHeight w:val="1612"/>
        </w:trPr>
        <w:tc>
          <w:tcPr>
            <w:tcW w:w="1920" w:type="dxa"/>
          </w:tcPr>
          <w:p w:rsidR="005E3D28" w:rsidRDefault="00C677D7">
            <w:pPr>
              <w:pStyle w:val="TableParagraph"/>
              <w:spacing w:line="270" w:lineRule="exact"/>
            </w:pPr>
            <w:r>
              <w:t>Arson</w:t>
            </w:r>
          </w:p>
        </w:tc>
        <w:tc>
          <w:tcPr>
            <w:tcW w:w="864" w:type="dxa"/>
          </w:tcPr>
          <w:p w:rsidR="005E3D28" w:rsidRDefault="00C677D7">
            <w:pPr>
              <w:pStyle w:val="TableParagraph"/>
              <w:spacing w:line="270" w:lineRule="exact"/>
              <w:ind w:left="108"/>
            </w:pPr>
            <w:r>
              <w:t>1</w:t>
            </w:r>
          </w:p>
        </w:tc>
        <w:tc>
          <w:tcPr>
            <w:tcW w:w="1441" w:type="dxa"/>
          </w:tcPr>
          <w:p w:rsidR="005E3D28" w:rsidRDefault="00C677D7">
            <w:pPr>
              <w:pStyle w:val="TableParagraph"/>
              <w:spacing w:line="201" w:lineRule="auto"/>
              <w:ind w:left="108" w:right="348"/>
            </w:pPr>
            <w:r>
              <w:t>Smoke inhalation. Burns.</w:t>
            </w:r>
          </w:p>
        </w:tc>
        <w:tc>
          <w:tcPr>
            <w:tcW w:w="3018" w:type="dxa"/>
          </w:tcPr>
          <w:p w:rsidR="005E3D28" w:rsidRDefault="00C677D7">
            <w:pPr>
              <w:pStyle w:val="TableParagraph"/>
              <w:spacing w:line="204" w:lineRule="auto"/>
              <w:ind w:right="134"/>
            </w:pPr>
            <w:r>
              <w:t>Ensure Hall hirers are aware of their responsibility for the Hall during their occupation and take reasonable steps to prevent wilful damage and</w:t>
            </w:r>
          </w:p>
          <w:p w:rsidR="005E3D28" w:rsidRDefault="00C677D7">
            <w:pPr>
              <w:pStyle w:val="TableParagraph"/>
              <w:spacing w:line="253" w:lineRule="exact"/>
            </w:pPr>
            <w:r>
              <w:t>lock up on departure.</w:t>
            </w:r>
          </w:p>
        </w:tc>
        <w:tc>
          <w:tcPr>
            <w:tcW w:w="3530" w:type="dxa"/>
          </w:tcPr>
          <w:p w:rsidR="005E3D28" w:rsidRDefault="00C677D7">
            <w:pPr>
              <w:pStyle w:val="TableParagraph"/>
              <w:spacing w:line="204" w:lineRule="auto"/>
              <w:ind w:right="339"/>
            </w:pPr>
            <w:r>
              <w:t>Wherever possible, locking mechanisms for ensuring internal safety without comprising emergency routes are fitted.</w:t>
            </w:r>
          </w:p>
        </w:tc>
      </w:tr>
    </w:tbl>
    <w:p w:rsidR="005E3D28" w:rsidRDefault="005E3D28">
      <w:pPr>
        <w:spacing w:line="204" w:lineRule="auto"/>
        <w:sectPr w:rsidR="005E3D28">
          <w:pgSz w:w="11910" w:h="16840"/>
          <w:pgMar w:top="1420" w:right="540" w:bottom="1080" w:left="600" w:header="0" w:footer="892" w:gutter="0"/>
          <w:cols w:space="720"/>
        </w:sectPr>
      </w:pPr>
    </w:p>
    <w:p w:rsidR="005E3D28" w:rsidRDefault="00C677D7">
      <w:pPr>
        <w:spacing w:before="85"/>
        <w:ind w:left="840"/>
        <w:rPr>
          <w:rFonts w:ascii="Times New Roman"/>
          <w:b/>
          <w:sz w:val="26"/>
        </w:rPr>
      </w:pPr>
      <w:r>
        <w:rPr>
          <w:rFonts w:ascii="Times New Roman"/>
          <w:b/>
          <w:color w:val="4F81BC"/>
          <w:w w:val="105"/>
          <w:sz w:val="26"/>
        </w:rPr>
        <w:lastRenderedPageBreak/>
        <w:t>Fire Assembly Point:</w:t>
      </w:r>
    </w:p>
    <w:p w:rsidR="005E3D28" w:rsidRDefault="00C677D7">
      <w:pPr>
        <w:pStyle w:val="BodyText"/>
        <w:spacing w:before="118"/>
        <w:ind w:left="840"/>
      </w:pPr>
      <w:r>
        <w:t>The Car Park</w:t>
      </w:r>
    </w:p>
    <w:p w:rsidR="005E3D28" w:rsidRDefault="005E3D28">
      <w:pPr>
        <w:pStyle w:val="BodyText"/>
        <w:rPr>
          <w:sz w:val="17"/>
        </w:rPr>
      </w:pPr>
    </w:p>
    <w:p w:rsidR="005E3D28" w:rsidRDefault="00C677D7">
      <w:pPr>
        <w:pStyle w:val="Heading1"/>
        <w:rPr>
          <w:sz w:val="20"/>
        </w:rPr>
      </w:pPr>
      <w:r>
        <w:rPr>
          <w:color w:val="4F81BC"/>
          <w:w w:val="105"/>
        </w:rPr>
        <w:t>Plan of the Hall</w:t>
      </w:r>
      <w:r>
        <w:rPr>
          <w:color w:val="4F81BC"/>
          <w:w w:val="105"/>
          <w:sz w:val="20"/>
        </w:rPr>
        <w:t>:</w:t>
      </w:r>
    </w:p>
    <w:p w:rsidR="005E3D28" w:rsidRDefault="005E3D28">
      <w:pPr>
        <w:pStyle w:val="BodyText"/>
        <w:rPr>
          <w:rFonts w:ascii="Times New Roman"/>
          <w:b/>
          <w:sz w:val="20"/>
        </w:rPr>
      </w:pPr>
    </w:p>
    <w:p w:rsidR="005E3D28" w:rsidRDefault="00CC6BF7">
      <w:pPr>
        <w:pStyle w:val="BodyText"/>
        <w:rPr>
          <w:rFonts w:ascii="Times New Roman"/>
          <w:b/>
          <w:sz w:val="20"/>
        </w:rPr>
      </w:pPr>
      <w:r>
        <w:rPr>
          <w:rFonts w:ascii="Times New Roman"/>
          <w:b/>
          <w:sz w:val="20"/>
        </w:rPr>
        <w:t xml:space="preserve">           </w:t>
      </w:r>
      <w:r w:rsidR="00AB4137">
        <w:rPr>
          <w:rFonts w:ascii="Times New Roman"/>
          <w:b/>
          <w:noProof/>
          <w:sz w:val="20"/>
        </w:rPr>
        <w:drawing>
          <wp:inline distT="0" distB="0" distL="0" distR="0">
            <wp:extent cx="6083300" cy="576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ntre Map Complete.png"/>
                    <pic:cNvPicPr/>
                  </pic:nvPicPr>
                  <pic:blipFill>
                    <a:blip r:embed="rId8">
                      <a:extLst>
                        <a:ext uri="{28A0092B-C50C-407E-A947-70E740481C1C}">
                          <a14:useLocalDpi xmlns:a14="http://schemas.microsoft.com/office/drawing/2010/main" val="0"/>
                        </a:ext>
                      </a:extLst>
                    </a:blip>
                    <a:stretch>
                      <a:fillRect/>
                    </a:stretch>
                  </pic:blipFill>
                  <pic:spPr>
                    <a:xfrm>
                      <a:off x="0" y="0"/>
                      <a:ext cx="6083300" cy="5765800"/>
                    </a:xfrm>
                    <a:prstGeom prst="rect">
                      <a:avLst/>
                    </a:prstGeom>
                  </pic:spPr>
                </pic:pic>
              </a:graphicData>
            </a:graphic>
          </wp:inline>
        </w:drawing>
      </w:r>
    </w:p>
    <w:p w:rsidR="005E3D28" w:rsidRDefault="005E3D28">
      <w:pPr>
        <w:pStyle w:val="BodyText"/>
        <w:rPr>
          <w:rFonts w:ascii="Times New Roman"/>
          <w:b/>
          <w:sz w:val="20"/>
        </w:rPr>
      </w:pPr>
    </w:p>
    <w:p w:rsidR="005E3D28" w:rsidRDefault="005E3D28">
      <w:pPr>
        <w:pStyle w:val="BodyText"/>
        <w:rPr>
          <w:rFonts w:ascii="Times New Roman"/>
          <w:b/>
          <w:sz w:val="20"/>
        </w:rPr>
      </w:pPr>
    </w:p>
    <w:p w:rsidR="005E3D28" w:rsidRDefault="005E3D28">
      <w:pPr>
        <w:pStyle w:val="BodyText"/>
        <w:spacing w:before="3"/>
        <w:rPr>
          <w:rFonts w:ascii="Times New Roman"/>
          <w:b/>
          <w:sz w:val="15"/>
        </w:rPr>
      </w:pPr>
    </w:p>
    <w:p w:rsidR="005E3D28" w:rsidRDefault="005E3D28">
      <w:pPr>
        <w:pStyle w:val="BodyText"/>
        <w:rPr>
          <w:rFonts w:ascii="Times New Roman"/>
          <w:b/>
          <w:sz w:val="20"/>
        </w:rPr>
      </w:pPr>
    </w:p>
    <w:p w:rsidR="005E3D28" w:rsidRDefault="005E3D28">
      <w:pPr>
        <w:pStyle w:val="BodyText"/>
        <w:rPr>
          <w:rFonts w:ascii="Times New Roman"/>
          <w:b/>
          <w:sz w:val="20"/>
        </w:rPr>
      </w:pPr>
    </w:p>
    <w:p w:rsidR="005E3D28" w:rsidRDefault="005E3D28">
      <w:pPr>
        <w:pStyle w:val="BodyText"/>
        <w:rPr>
          <w:rFonts w:ascii="Times New Roman"/>
          <w:b/>
          <w:sz w:val="20"/>
        </w:rPr>
      </w:pPr>
    </w:p>
    <w:p w:rsidR="005E3D28" w:rsidRDefault="005E3D28">
      <w:pPr>
        <w:pStyle w:val="BodyText"/>
        <w:rPr>
          <w:rFonts w:ascii="Times New Roman"/>
          <w:b/>
          <w:sz w:val="20"/>
        </w:rPr>
      </w:pPr>
    </w:p>
    <w:p w:rsidR="005E3D28" w:rsidRDefault="005E3D28">
      <w:pPr>
        <w:pStyle w:val="BodyText"/>
        <w:rPr>
          <w:rFonts w:ascii="Times New Roman"/>
          <w:b/>
          <w:sz w:val="20"/>
        </w:rPr>
      </w:pPr>
    </w:p>
    <w:p w:rsidR="005E3D28" w:rsidRDefault="005E3D28">
      <w:pPr>
        <w:pStyle w:val="BodyText"/>
        <w:spacing w:before="2"/>
        <w:rPr>
          <w:rFonts w:ascii="Times New Roman"/>
          <w:b/>
          <w:sz w:val="27"/>
        </w:rPr>
      </w:pPr>
    </w:p>
    <w:p w:rsidR="005E3D28" w:rsidRDefault="00C677D7">
      <w:pPr>
        <w:spacing w:before="91" w:line="475" w:lineRule="auto"/>
        <w:ind w:left="840" w:right="2673"/>
        <w:rPr>
          <w:rFonts w:ascii="Helvetica"/>
          <w:sz w:val="20"/>
        </w:rPr>
      </w:pPr>
      <w:r>
        <w:rPr>
          <w:rFonts w:ascii="Helvetica"/>
          <w:sz w:val="20"/>
        </w:rPr>
        <w:t xml:space="preserve">Initially approved by the </w:t>
      </w:r>
      <w:proofErr w:type="spellStart"/>
      <w:r w:rsidR="00513D85">
        <w:rPr>
          <w:rFonts w:ascii="Helvetica"/>
          <w:sz w:val="20"/>
        </w:rPr>
        <w:t>The</w:t>
      </w:r>
      <w:proofErr w:type="spellEnd"/>
      <w:r w:rsidR="00513D85">
        <w:rPr>
          <w:rFonts w:ascii="Helvetica"/>
          <w:sz w:val="20"/>
        </w:rPr>
        <w:t xml:space="preserve"> Windmill Centre</w:t>
      </w:r>
      <w:r>
        <w:rPr>
          <w:rFonts w:ascii="Helvetica"/>
          <w:sz w:val="20"/>
        </w:rPr>
        <w:t xml:space="preserve"> Management Committee July 201</w:t>
      </w:r>
      <w:r w:rsidR="00D07122">
        <w:rPr>
          <w:rFonts w:ascii="Helvetica"/>
          <w:sz w:val="20"/>
        </w:rPr>
        <w:t>7</w:t>
      </w:r>
      <w:r>
        <w:rPr>
          <w:rFonts w:ascii="Helvetica"/>
          <w:sz w:val="20"/>
        </w:rPr>
        <w:t xml:space="preserve"> Reviewed annually by the Management Committee</w:t>
      </w:r>
    </w:p>
    <w:sectPr w:rsidR="005E3D28">
      <w:pgSz w:w="11910" w:h="16840"/>
      <w:pgMar w:top="1540" w:right="540" w:bottom="1080" w:left="60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7EE" w:rsidRDefault="000867EE">
      <w:r>
        <w:separator/>
      </w:r>
    </w:p>
  </w:endnote>
  <w:endnote w:type="continuationSeparator" w:id="0">
    <w:p w:rsidR="000867EE" w:rsidRDefault="0008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D28" w:rsidRDefault="00D07122">
    <w:pPr>
      <w:pStyle w:val="BodyText"/>
      <w:spacing w:line="14" w:lineRule="auto"/>
      <w:rPr>
        <w:sz w:val="14"/>
      </w:rPr>
    </w:pPr>
    <w:r>
      <w:rPr>
        <w:noProof/>
      </w:rPr>
      <mc:AlternateContent>
        <mc:Choice Requires="wps">
          <w:drawing>
            <wp:anchor distT="0" distB="0" distL="114300" distR="114300" simplePos="0" relativeHeight="251649536" behindDoc="1" locked="0" layoutInCell="1" allowOverlap="1">
              <wp:simplePos x="0" y="0"/>
              <wp:positionH relativeFrom="page">
                <wp:posOffset>215476</wp:posOffset>
              </wp:positionH>
              <wp:positionV relativeFrom="page">
                <wp:posOffset>10101580</wp:posOffset>
              </wp:positionV>
              <wp:extent cx="125666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6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28" w:rsidRDefault="00D07122">
                          <w:pPr>
                            <w:pStyle w:val="BodyText"/>
                            <w:spacing w:line="245" w:lineRule="exact"/>
                            <w:ind w:left="20"/>
                          </w:pPr>
                          <w:r>
                            <w:t>The Windmill Centre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5pt;margin-top:795.4pt;width:98.95pt;height:13.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" filled="f" stroked="f">
              <v:path arrowok="t"/>
              <v:textbox inset="0,0,0,0">
                <w:txbxContent>
                  <w:p w:rsidR="005E3D28" w:rsidRDefault="00D07122">
                    <w:pPr>
                      <w:pStyle w:val="BodyText"/>
                      <w:spacing w:line="245" w:lineRule="exact"/>
                      <w:ind w:left="20"/>
                    </w:pPr>
                    <w:r>
                      <w:t>The Windmill Centre</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page">
                <wp:posOffset>3547534</wp:posOffset>
              </wp:positionH>
              <wp:positionV relativeFrom="page">
                <wp:posOffset>10100310</wp:posOffset>
              </wp:positionV>
              <wp:extent cx="65278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28" w:rsidRDefault="00C677D7">
                          <w:pPr>
                            <w:pStyle w:val="BodyText"/>
                            <w:spacing w:line="245" w:lineRule="exact"/>
                            <w:ind w:left="20"/>
                          </w:pPr>
                          <w:r>
                            <w:t xml:space="preserve">Page </w:t>
                          </w:r>
                          <w:r>
                            <w:fldChar w:fldCharType="begin"/>
                          </w:r>
                          <w:r>
                            <w:instrText xml:space="preserve"> PAGE </w:instrText>
                          </w:r>
                          <w:r>
                            <w:fldChar w:fldCharType="separate"/>
                          </w:r>
                          <w:r>
                            <w:t>4</w:t>
                          </w:r>
                          <w:r>
                            <w:fldChar w:fldCharType="end"/>
                          </w:r>
                          <w: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9.35pt;margin-top:795.3pt;width:51.4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" filled="f" stroked="f">
              <v:path arrowok="t"/>
              <v:textbox inset="0,0,0,0">
                <w:txbxContent>
                  <w:p w:rsidR="005E3D28" w:rsidRDefault="00C677D7">
                    <w:pPr>
                      <w:pStyle w:val="BodyText"/>
                      <w:spacing w:line="245" w:lineRule="exact"/>
                      <w:ind w:left="20"/>
                    </w:pPr>
                    <w:r>
                      <w:t xml:space="preserve">Page </w:t>
                    </w:r>
                    <w:r>
                      <w:fldChar w:fldCharType="begin"/>
                    </w:r>
                    <w:r>
                      <w:instrText xml:space="preserve"> PAGE </w:instrText>
                    </w:r>
                    <w:r>
                      <w:fldChar w:fldCharType="separate"/>
                    </w:r>
                    <w:r>
                      <w:t>4</w:t>
                    </w:r>
                    <w:r>
                      <w:fldChar w:fldCharType="end"/>
                    </w:r>
                    <w:r>
                      <w:t xml:space="preserve"> of 5</w:t>
                    </w:r>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page">
                <wp:posOffset>6138333</wp:posOffset>
              </wp:positionH>
              <wp:positionV relativeFrom="page">
                <wp:posOffset>10100310</wp:posOffset>
              </wp:positionV>
              <wp:extent cx="1235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5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D28" w:rsidRDefault="00D07122">
                          <w:pPr>
                            <w:pStyle w:val="BodyText"/>
                            <w:spacing w:line="245" w:lineRule="exact"/>
                            <w:ind w:left="20"/>
                          </w:pPr>
                          <w:r>
                            <w:t xml:space="preserve">Revised </w:t>
                          </w:r>
                          <w:r w:rsidR="00C677D7">
                            <w:t>J</w:t>
                          </w:r>
                          <w:r>
                            <w:t>anuary 202</w:t>
                          </w:r>
                          <w:r w:rsidR="00315580">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3.35pt;margin-top:795.3pt;width:97.25pt;height:13.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" filled="f" stroked="f">
              <v:path arrowok="t"/>
              <v:textbox inset="0,0,0,0">
                <w:txbxContent>
                  <w:p w:rsidR="005E3D28" w:rsidRDefault="00D07122">
                    <w:pPr>
                      <w:pStyle w:val="BodyText"/>
                      <w:spacing w:line="245" w:lineRule="exact"/>
                      <w:ind w:left="20"/>
                    </w:pPr>
                    <w:r>
                      <w:t xml:space="preserve">Revised </w:t>
                    </w:r>
                    <w:r w:rsidR="00C677D7">
                      <w:t>J</w:t>
                    </w:r>
                    <w:r>
                      <w:t>anuary 202</w:t>
                    </w:r>
                    <w:r w:rsidR="00315580">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7EE" w:rsidRDefault="000867EE">
      <w:r>
        <w:separator/>
      </w:r>
    </w:p>
  </w:footnote>
  <w:footnote w:type="continuationSeparator" w:id="0">
    <w:p w:rsidR="000867EE" w:rsidRDefault="00086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D28"/>
    <w:rsid w:val="000867EE"/>
    <w:rsid w:val="00315580"/>
    <w:rsid w:val="00352CDC"/>
    <w:rsid w:val="00513D85"/>
    <w:rsid w:val="005E3D28"/>
    <w:rsid w:val="00A63DA4"/>
    <w:rsid w:val="00AB4137"/>
    <w:rsid w:val="00C677D7"/>
    <w:rsid w:val="00CC6BF7"/>
    <w:rsid w:val="00D07122"/>
    <w:rsid w:val="00D2617C"/>
    <w:rsid w:val="00DF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DF264"/>
  <w15:docId w15:val="{B34DB4E2-9AC6-194F-BAE4-2C9D3C92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840"/>
      <w:outlineLvl w:val="0"/>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07122"/>
    <w:pPr>
      <w:tabs>
        <w:tab w:val="center" w:pos="4513"/>
        <w:tab w:val="right" w:pos="9026"/>
      </w:tabs>
    </w:pPr>
  </w:style>
  <w:style w:type="character" w:customStyle="1" w:styleId="HeaderChar">
    <w:name w:val="Header Char"/>
    <w:basedOn w:val="DefaultParagraphFont"/>
    <w:link w:val="Header"/>
    <w:uiPriority w:val="99"/>
    <w:rsid w:val="00D07122"/>
    <w:rPr>
      <w:rFonts w:ascii="Calibri" w:eastAsia="Calibri" w:hAnsi="Calibri" w:cs="Calibri"/>
      <w:lang w:val="en-GB" w:eastAsia="en-GB" w:bidi="en-GB"/>
    </w:rPr>
  </w:style>
  <w:style w:type="paragraph" w:styleId="Footer">
    <w:name w:val="footer"/>
    <w:basedOn w:val="Normal"/>
    <w:link w:val="FooterChar"/>
    <w:uiPriority w:val="99"/>
    <w:unhideWhenUsed/>
    <w:rsid w:val="00D07122"/>
    <w:pPr>
      <w:tabs>
        <w:tab w:val="center" w:pos="4513"/>
        <w:tab w:val="right" w:pos="9026"/>
      </w:tabs>
    </w:pPr>
  </w:style>
  <w:style w:type="character" w:customStyle="1" w:styleId="FooterChar">
    <w:name w:val="Footer Char"/>
    <w:basedOn w:val="DefaultParagraphFont"/>
    <w:link w:val="Footer"/>
    <w:uiPriority w:val="99"/>
    <w:rsid w:val="00D0712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863A-6A71-49DD-9C5F-20C17770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Wedmore Village Hall - Fire Safety Risk Assessment</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Wedmore Village Hall - Fire Safety Risk Assessment</dc:title>
  <dc:creator>Mike Rippon</dc:creator>
  <cp:lastModifiedBy>Emma Ellis</cp:lastModifiedBy>
  <cp:revision>3</cp:revision>
  <dcterms:created xsi:type="dcterms:W3CDTF">2020-03-12T15:41:00Z</dcterms:created>
  <dcterms:modified xsi:type="dcterms:W3CDTF">2021-12-14T15:48:00Z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Word 2016</vt:lpwstr>
  </property>
  <property fmtid="{D5CDD505-2E9C-101B-9397-08002B2CF9AE}" pid="4" name="LastSaved">
    <vt:filetime>2020-03-12T00:00:00Z</vt:filetime>
  </property>
</Properties>
</file>